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4B9A9" w14:textId="77777777" w:rsidR="009B33F1" w:rsidRPr="00A325BF" w:rsidRDefault="007018B3">
      <w:pPr>
        <w:adjustRightInd/>
        <w:spacing w:line="396" w:lineRule="exact"/>
        <w:rPr>
          <w:rFonts w:ascii="ＭＳ 明朝" w:cs="Times New Roman"/>
          <w:b/>
          <w:bCs/>
        </w:rPr>
      </w:pPr>
      <w:bookmarkStart w:id="0" w:name="_GoBack"/>
      <w:bookmarkEnd w:id="0"/>
      <w:r w:rsidRPr="00A325BF">
        <w:rPr>
          <w:rFonts w:hint="eastAsia"/>
          <w:b/>
          <w:bCs/>
          <w:sz w:val="24"/>
          <w:szCs w:val="24"/>
        </w:rPr>
        <w:t>５．</w:t>
      </w:r>
      <w:r w:rsidR="009B33F1" w:rsidRPr="00A325BF">
        <w:rPr>
          <w:rFonts w:hint="eastAsia"/>
          <w:b/>
          <w:bCs/>
          <w:sz w:val="24"/>
          <w:szCs w:val="24"/>
        </w:rPr>
        <w:t>民事司法改革</w:t>
      </w:r>
    </w:p>
    <w:p w14:paraId="14836648" w14:textId="77777777" w:rsidR="009B33F1" w:rsidRDefault="009B33F1">
      <w:pPr>
        <w:adjustRightInd/>
        <w:rPr>
          <w:rFonts w:ascii="ＭＳ 明朝" w:cs="Times New Roman"/>
        </w:rPr>
      </w:pPr>
    </w:p>
    <w:p w14:paraId="0FF7A27D" w14:textId="77777777" w:rsidR="009B33F1" w:rsidRPr="00A325BF" w:rsidRDefault="009B33F1">
      <w:pPr>
        <w:adjustRightInd/>
        <w:rPr>
          <w:rFonts w:asciiTheme="majorEastAsia" w:eastAsiaTheme="majorEastAsia" w:hAnsiTheme="majorEastAsia" w:cs="Times New Roman"/>
          <w:sz w:val="24"/>
          <w:szCs w:val="24"/>
        </w:rPr>
      </w:pPr>
      <w:r>
        <w:rPr>
          <w:rFonts w:hint="eastAsia"/>
        </w:rPr>
        <w:t xml:space="preserve">　</w:t>
      </w:r>
      <w:r w:rsidRPr="00A325BF">
        <w:rPr>
          <w:rFonts w:asciiTheme="majorEastAsia" w:eastAsiaTheme="majorEastAsia" w:hAnsiTheme="majorEastAsia" w:hint="eastAsia"/>
          <w:sz w:val="24"/>
          <w:szCs w:val="24"/>
        </w:rPr>
        <w:t>法が、正義・公平を実現すべきものであるとすれば、それは制定された法律の内容だけではなく、その適用においても果たされなければならない。すなわち、法による正義・公平の実現は、裁判手続における法の具体的事実への適用の場面においてもなされるものでなければならない。法の支配を隅々にまで及ぼそうという企てには、各人の権利が尊重される明るい未来の実現という積極的なヴィジョンがある。</w:t>
      </w:r>
    </w:p>
    <w:p w14:paraId="2A215015" w14:textId="77777777" w:rsidR="009B33F1" w:rsidRPr="00A325BF" w:rsidRDefault="009B33F1">
      <w:pPr>
        <w:adjustRightInd/>
        <w:rPr>
          <w:rFonts w:asciiTheme="majorEastAsia" w:eastAsiaTheme="majorEastAsia" w:hAnsiTheme="majorEastAsia" w:cs="Times New Roman"/>
          <w:sz w:val="24"/>
          <w:szCs w:val="24"/>
        </w:rPr>
      </w:pPr>
      <w:r w:rsidRPr="00A325BF">
        <w:rPr>
          <w:rFonts w:asciiTheme="majorEastAsia" w:eastAsiaTheme="majorEastAsia" w:hAnsiTheme="majorEastAsia" w:hint="eastAsia"/>
          <w:sz w:val="24"/>
          <w:szCs w:val="24"/>
        </w:rPr>
        <w:t xml:space="preserve">　もっとも、民事司法改革は、まさにその対象としている事件・事実が民事に属する事柄であるため、当事者の自主的な紛争解決を尊重する観点と緊張関係が生じやすい。もともと、民事訴訟法の大原則である処分権主義や弁論主義は、私的自治の原則が妥当する領域において、できるだけ当事者間の自主的な解決に近づけようとする価値判断を背景としている</w:t>
      </w:r>
      <w:r w:rsidR="005C5896" w:rsidRPr="00A325BF">
        <w:rPr>
          <w:rFonts w:asciiTheme="majorEastAsia" w:eastAsiaTheme="majorEastAsia" w:hAnsiTheme="majorEastAsia" w:hint="eastAsia"/>
          <w:sz w:val="24"/>
          <w:szCs w:val="24"/>
        </w:rPr>
        <w:t>から</w:t>
      </w:r>
      <w:r w:rsidRPr="00A325BF">
        <w:rPr>
          <w:rFonts w:asciiTheme="majorEastAsia" w:eastAsiaTheme="majorEastAsia" w:hAnsiTheme="majorEastAsia" w:hint="eastAsia"/>
          <w:sz w:val="24"/>
          <w:szCs w:val="24"/>
        </w:rPr>
        <w:t>、当事者が、司法</w:t>
      </w:r>
      <w:r w:rsidRPr="00A325BF">
        <w:rPr>
          <w:rFonts w:asciiTheme="majorEastAsia" w:eastAsiaTheme="majorEastAsia" w:hAnsiTheme="majorEastAsia"/>
          <w:sz w:val="24"/>
          <w:szCs w:val="24"/>
        </w:rPr>
        <w:t>(</w:t>
      </w:r>
      <w:r w:rsidRPr="00A325BF">
        <w:rPr>
          <w:rFonts w:asciiTheme="majorEastAsia" w:eastAsiaTheme="majorEastAsia" w:hAnsiTheme="majorEastAsia" w:hint="eastAsia"/>
          <w:sz w:val="24"/>
          <w:szCs w:val="24"/>
        </w:rPr>
        <w:t>権力</w:t>
      </w:r>
      <w:r w:rsidRPr="00A325BF">
        <w:rPr>
          <w:rFonts w:asciiTheme="majorEastAsia" w:eastAsiaTheme="majorEastAsia" w:hAnsiTheme="majorEastAsia"/>
          <w:sz w:val="24"/>
          <w:szCs w:val="24"/>
        </w:rPr>
        <w:t>)</w:t>
      </w:r>
      <w:r w:rsidRPr="00A325BF">
        <w:rPr>
          <w:rFonts w:asciiTheme="majorEastAsia" w:eastAsiaTheme="majorEastAsia" w:hAnsiTheme="majorEastAsia" w:hint="eastAsia"/>
          <w:sz w:val="24"/>
          <w:szCs w:val="24"/>
        </w:rPr>
        <w:t>の民事事件に関与する場面をコントロールすることができなければならない。そのうえで、どこまで、当事者</w:t>
      </w:r>
      <w:r w:rsidRPr="00A325BF">
        <w:rPr>
          <w:rFonts w:asciiTheme="majorEastAsia" w:eastAsiaTheme="majorEastAsia" w:hAnsiTheme="majorEastAsia"/>
          <w:sz w:val="24"/>
          <w:szCs w:val="24"/>
        </w:rPr>
        <w:t>(</w:t>
      </w:r>
      <w:r w:rsidRPr="00A325BF">
        <w:rPr>
          <w:rFonts w:asciiTheme="majorEastAsia" w:eastAsiaTheme="majorEastAsia" w:hAnsiTheme="majorEastAsia" w:hint="eastAsia"/>
          <w:sz w:val="24"/>
          <w:szCs w:val="24"/>
        </w:rPr>
        <w:t>原告と被告、債権者と債務者</w:t>
      </w:r>
      <w:r w:rsidRPr="00A325BF">
        <w:rPr>
          <w:rFonts w:asciiTheme="majorEastAsia" w:eastAsiaTheme="majorEastAsia" w:hAnsiTheme="majorEastAsia"/>
          <w:sz w:val="24"/>
          <w:szCs w:val="24"/>
        </w:rPr>
        <w:t>)</w:t>
      </w:r>
      <w:r w:rsidRPr="00A325BF">
        <w:rPr>
          <w:rFonts w:asciiTheme="majorEastAsia" w:eastAsiaTheme="majorEastAsia" w:hAnsiTheme="majorEastAsia" w:hint="eastAsia"/>
          <w:sz w:val="24"/>
          <w:szCs w:val="24"/>
        </w:rPr>
        <w:t>間の公平を図るために司法的介入が許されるべきかという視点が</w:t>
      </w:r>
      <w:r w:rsidR="005C5896" w:rsidRPr="00A325BF">
        <w:rPr>
          <w:rFonts w:asciiTheme="majorEastAsia" w:eastAsiaTheme="majorEastAsia" w:hAnsiTheme="majorEastAsia" w:hint="eastAsia"/>
          <w:sz w:val="24"/>
          <w:szCs w:val="24"/>
        </w:rPr>
        <w:t>必要で</w:t>
      </w:r>
      <w:r w:rsidRPr="00A325BF">
        <w:rPr>
          <w:rFonts w:asciiTheme="majorEastAsia" w:eastAsiaTheme="majorEastAsia" w:hAnsiTheme="majorEastAsia" w:hint="eastAsia"/>
          <w:sz w:val="24"/>
          <w:szCs w:val="24"/>
        </w:rPr>
        <w:t>ある。</w:t>
      </w:r>
    </w:p>
    <w:p w14:paraId="5B09F1B8" w14:textId="77777777" w:rsidR="009B33F1" w:rsidRPr="00A325BF" w:rsidRDefault="009B33F1">
      <w:pPr>
        <w:adjustRightInd/>
        <w:rPr>
          <w:rFonts w:asciiTheme="majorEastAsia" w:eastAsiaTheme="majorEastAsia" w:hAnsiTheme="majorEastAsia" w:cs="Times New Roman"/>
          <w:sz w:val="24"/>
          <w:szCs w:val="24"/>
        </w:rPr>
      </w:pPr>
      <w:r w:rsidRPr="00A325BF">
        <w:rPr>
          <w:rFonts w:asciiTheme="majorEastAsia" w:eastAsiaTheme="majorEastAsia" w:hAnsiTheme="majorEastAsia" w:hint="eastAsia"/>
          <w:sz w:val="24"/>
          <w:szCs w:val="24"/>
        </w:rPr>
        <w:t xml:space="preserve">　たとえば証拠の偏在があまりにも著しいケース</w:t>
      </w:r>
      <w:r w:rsidR="005C5896" w:rsidRPr="00A325BF">
        <w:rPr>
          <w:rFonts w:asciiTheme="majorEastAsia" w:eastAsiaTheme="majorEastAsia" w:hAnsiTheme="majorEastAsia" w:hint="eastAsia"/>
          <w:sz w:val="24"/>
          <w:szCs w:val="24"/>
        </w:rPr>
        <w:t>において</w:t>
      </w:r>
      <w:r w:rsidRPr="00A325BF">
        <w:rPr>
          <w:rFonts w:asciiTheme="majorEastAsia" w:eastAsiaTheme="majorEastAsia" w:hAnsiTheme="majorEastAsia" w:hint="eastAsia"/>
          <w:sz w:val="24"/>
          <w:szCs w:val="24"/>
        </w:rPr>
        <w:t>当事者間の自主的な紛争解決にできるだけ近づけるため、立証活動、とりわけ書証の申出や証拠調べの主導権を完全に当事者に委ねてしま</w:t>
      </w:r>
      <w:r w:rsidR="005C5896" w:rsidRPr="00A325BF">
        <w:rPr>
          <w:rFonts w:asciiTheme="majorEastAsia" w:eastAsiaTheme="majorEastAsia" w:hAnsiTheme="majorEastAsia" w:hint="eastAsia"/>
          <w:sz w:val="24"/>
          <w:szCs w:val="24"/>
        </w:rPr>
        <w:t>うべき</w:t>
      </w:r>
      <w:r w:rsidRPr="00A325BF">
        <w:rPr>
          <w:rFonts w:asciiTheme="majorEastAsia" w:eastAsiaTheme="majorEastAsia" w:hAnsiTheme="majorEastAsia" w:hint="eastAsia"/>
          <w:sz w:val="24"/>
          <w:szCs w:val="24"/>
        </w:rPr>
        <w:t>か、書証を有している側の当事者に積極的に事案を解明するように求める訴訟指揮こそが望ましいのであろうか。真実により接近した紛争解決を目標とするのであれば、書証の開示や具体的な事実の説明を、証明責任を負担しない当事者に対して求めることもできなければならない。そうしなければ、裁判所の信頼性は揺らいでしまうであろう。真実に近づこうとする裁判所の信頼が揺らぐということは、訴訟代理人たる弁護士の活動も国民の信頼を得られないということにつなが</w:t>
      </w:r>
      <w:r w:rsidR="005C5896" w:rsidRPr="00A325BF">
        <w:rPr>
          <w:rFonts w:asciiTheme="majorEastAsia" w:eastAsiaTheme="majorEastAsia" w:hAnsiTheme="majorEastAsia" w:hint="eastAsia"/>
          <w:sz w:val="24"/>
          <w:szCs w:val="24"/>
        </w:rPr>
        <w:t>ってくる</w:t>
      </w:r>
      <w:r w:rsidRPr="00A325BF">
        <w:rPr>
          <w:rFonts w:asciiTheme="majorEastAsia" w:eastAsiaTheme="majorEastAsia" w:hAnsiTheme="majorEastAsia" w:hint="eastAsia"/>
          <w:sz w:val="24"/>
          <w:szCs w:val="24"/>
        </w:rPr>
        <w:t>。</w:t>
      </w:r>
    </w:p>
    <w:p w14:paraId="278B139C" w14:textId="77777777" w:rsidR="00F80DFC" w:rsidRDefault="009B33F1">
      <w:pPr>
        <w:adjustRightInd/>
        <w:rPr>
          <w:rFonts w:asciiTheme="majorEastAsia" w:eastAsiaTheme="majorEastAsia" w:hAnsiTheme="majorEastAsia"/>
          <w:sz w:val="24"/>
          <w:szCs w:val="24"/>
        </w:rPr>
      </w:pPr>
      <w:r w:rsidRPr="00A325BF">
        <w:rPr>
          <w:rFonts w:asciiTheme="majorEastAsia" w:eastAsiaTheme="majorEastAsia" w:hAnsiTheme="majorEastAsia" w:hint="eastAsia"/>
          <w:sz w:val="24"/>
          <w:szCs w:val="24"/>
        </w:rPr>
        <w:t xml:space="preserve">　また、法令</w:t>
      </w:r>
      <w:r w:rsidR="004D45EE">
        <w:rPr>
          <w:rFonts w:asciiTheme="majorEastAsia" w:eastAsiaTheme="majorEastAsia" w:hAnsiTheme="majorEastAsia" w:hint="eastAsia"/>
          <w:sz w:val="24"/>
          <w:szCs w:val="24"/>
        </w:rPr>
        <w:t>遵守</w:t>
      </w:r>
      <w:r w:rsidRPr="00A325BF">
        <w:rPr>
          <w:rFonts w:asciiTheme="majorEastAsia" w:eastAsiaTheme="majorEastAsia" w:hAnsiTheme="majorEastAsia" w:hint="eastAsia"/>
          <w:sz w:val="24"/>
          <w:szCs w:val="24"/>
        </w:rPr>
        <w:t>が強く求められる時代にあって、何が合法で何が合法でないか、すべての事情を打ち明けて弁護士に相談するという、依頼者の権利が保障されなければならない。弁護士と依頼者との間の相談内容や、その際に作成された資料・報告文書が、後に公的手続により押収されたり、開示を求められたりするのであれば、すべてを打ち明けて相談するという機会</w:t>
      </w:r>
      <w:r w:rsidRPr="00A325BF">
        <w:rPr>
          <w:rFonts w:asciiTheme="majorEastAsia" w:eastAsiaTheme="majorEastAsia" w:hAnsiTheme="majorEastAsia"/>
          <w:sz w:val="24"/>
          <w:szCs w:val="24"/>
        </w:rPr>
        <w:t>(</w:t>
      </w:r>
      <w:r w:rsidRPr="00A325BF">
        <w:rPr>
          <w:rFonts w:asciiTheme="majorEastAsia" w:eastAsiaTheme="majorEastAsia" w:hAnsiTheme="majorEastAsia" w:hint="eastAsia"/>
          <w:sz w:val="24"/>
          <w:szCs w:val="24"/>
        </w:rPr>
        <w:t>外部弁護士の意見を聴くという選択肢</w:t>
      </w:r>
      <w:r w:rsidRPr="00A325BF">
        <w:rPr>
          <w:rFonts w:asciiTheme="majorEastAsia" w:eastAsiaTheme="majorEastAsia" w:hAnsiTheme="majorEastAsia"/>
          <w:sz w:val="24"/>
          <w:szCs w:val="24"/>
        </w:rPr>
        <w:t>)</w:t>
      </w:r>
      <w:r w:rsidRPr="00A325BF">
        <w:rPr>
          <w:rFonts w:asciiTheme="majorEastAsia" w:eastAsiaTheme="majorEastAsia" w:hAnsiTheme="majorEastAsia" w:hint="eastAsia"/>
          <w:sz w:val="24"/>
          <w:szCs w:val="24"/>
        </w:rPr>
        <w:t>を依頼者から奪ってしまうであろう。弁護士と依頼者との間のコミュニケーションの秘密は合法的な行政行為からも保護されなければならない。グローバルな観点からは、我が国の弁護士への相談が秘匿特権の放棄</w:t>
      </w:r>
      <w:r w:rsidRPr="00A325BF">
        <w:rPr>
          <w:rFonts w:asciiTheme="majorEastAsia" w:eastAsiaTheme="majorEastAsia" w:hAnsiTheme="majorEastAsia"/>
          <w:sz w:val="24"/>
          <w:szCs w:val="24"/>
        </w:rPr>
        <w:t>(</w:t>
      </w:r>
      <w:r w:rsidRPr="00A325BF">
        <w:rPr>
          <w:rFonts w:asciiTheme="majorEastAsia" w:eastAsiaTheme="majorEastAsia" w:hAnsiTheme="majorEastAsia" w:cs="Times New Roman"/>
          <w:sz w:val="24"/>
          <w:szCs w:val="24"/>
        </w:rPr>
        <w:t>waiver</w:t>
      </w:r>
      <w:r w:rsidRPr="00A325BF">
        <w:rPr>
          <w:rFonts w:asciiTheme="majorEastAsia" w:eastAsiaTheme="majorEastAsia" w:hAnsiTheme="majorEastAsia"/>
          <w:sz w:val="24"/>
          <w:szCs w:val="24"/>
        </w:rPr>
        <w:t>)</w:t>
      </w:r>
      <w:r w:rsidRPr="00A325BF">
        <w:rPr>
          <w:rFonts w:asciiTheme="majorEastAsia" w:eastAsiaTheme="majorEastAsia" w:hAnsiTheme="majorEastAsia" w:hint="eastAsia"/>
          <w:sz w:val="24"/>
          <w:szCs w:val="24"/>
        </w:rPr>
        <w:t>とみなされ証拠開示の対象となるというリスクは、明らかに国際的競争力を阻害するものであって放置できない喫緊の課題である。</w:t>
      </w:r>
    </w:p>
    <w:p w14:paraId="1D7C1380" w14:textId="77777777" w:rsidR="009B33F1" w:rsidRPr="00A325BF" w:rsidRDefault="00F80DFC" w:rsidP="00F80DFC">
      <w:pPr>
        <w:adjustRightInd/>
        <w:ind w:firstLineChars="100" w:firstLine="242"/>
        <w:rPr>
          <w:rFonts w:asciiTheme="majorEastAsia" w:eastAsiaTheme="majorEastAsia" w:hAnsiTheme="majorEastAsia" w:cs="Times New Roman"/>
          <w:sz w:val="24"/>
          <w:szCs w:val="24"/>
        </w:rPr>
      </w:pPr>
      <w:r>
        <w:rPr>
          <w:rFonts w:asciiTheme="majorEastAsia" w:eastAsiaTheme="majorEastAsia" w:hAnsiTheme="majorEastAsia" w:hint="eastAsia"/>
          <w:sz w:val="24"/>
          <w:szCs w:val="24"/>
        </w:rPr>
        <w:t>そして</w:t>
      </w:r>
      <w:r w:rsidR="009B33F1" w:rsidRPr="00A325BF">
        <w:rPr>
          <w:rFonts w:asciiTheme="majorEastAsia" w:eastAsiaTheme="majorEastAsia" w:hAnsiTheme="majorEastAsia" w:hint="eastAsia"/>
          <w:sz w:val="24"/>
          <w:szCs w:val="24"/>
        </w:rPr>
        <w:t>、国際的競争力という観点からは、国際仲裁等のインフラ整備といった、司法外交の強化という視点も外すことはできない。法の介入に一定の限界のある民事の領域において、法の支配をどこまで及ぼすかは永遠のテーマと考えられる。</w:t>
      </w:r>
    </w:p>
    <w:p w14:paraId="3C04E872" w14:textId="77777777" w:rsidR="009B33F1" w:rsidRPr="00A325BF" w:rsidRDefault="009B33F1">
      <w:pPr>
        <w:adjustRightInd/>
        <w:rPr>
          <w:rFonts w:asciiTheme="majorEastAsia" w:eastAsiaTheme="majorEastAsia" w:hAnsiTheme="majorEastAsia"/>
          <w:sz w:val="24"/>
          <w:szCs w:val="24"/>
        </w:rPr>
      </w:pPr>
      <w:r w:rsidRPr="00A325BF">
        <w:rPr>
          <w:rFonts w:asciiTheme="majorEastAsia" w:eastAsiaTheme="majorEastAsia" w:hAnsiTheme="majorEastAsia" w:hint="eastAsia"/>
          <w:sz w:val="24"/>
          <w:szCs w:val="24"/>
        </w:rPr>
        <w:t xml:space="preserve">　この様な認識を背景に、日弁連において策定された民事司法改革グランドデザインは、</w:t>
      </w:r>
      <w:r w:rsidRPr="00A325BF">
        <w:rPr>
          <w:rFonts w:asciiTheme="majorEastAsia" w:eastAsiaTheme="majorEastAsia" w:hAnsiTheme="majorEastAsia" w:cs="Times New Roman"/>
          <w:sz w:val="24"/>
          <w:szCs w:val="24"/>
        </w:rPr>
        <w:t>2014</w:t>
      </w:r>
      <w:r w:rsidRPr="00A325BF">
        <w:rPr>
          <w:rFonts w:asciiTheme="majorEastAsia" w:eastAsiaTheme="majorEastAsia" w:hAnsiTheme="majorEastAsia"/>
          <w:sz w:val="24"/>
          <w:szCs w:val="24"/>
        </w:rPr>
        <w:t>(</w:t>
      </w:r>
      <w:r w:rsidRPr="00A325BF">
        <w:rPr>
          <w:rFonts w:asciiTheme="majorEastAsia" w:eastAsiaTheme="majorEastAsia" w:hAnsiTheme="majorEastAsia" w:hint="eastAsia"/>
          <w:sz w:val="24"/>
          <w:szCs w:val="24"/>
        </w:rPr>
        <w:t>平成</w:t>
      </w:r>
      <w:r w:rsidRPr="00A325BF">
        <w:rPr>
          <w:rFonts w:asciiTheme="majorEastAsia" w:eastAsiaTheme="majorEastAsia" w:hAnsiTheme="majorEastAsia" w:cs="Times New Roman"/>
          <w:sz w:val="24"/>
          <w:szCs w:val="24"/>
        </w:rPr>
        <w:t>26</w:t>
      </w:r>
      <w:r w:rsidRPr="00A325BF">
        <w:rPr>
          <w:rFonts w:asciiTheme="majorEastAsia" w:eastAsiaTheme="majorEastAsia" w:hAnsiTheme="majorEastAsia"/>
          <w:sz w:val="24"/>
          <w:szCs w:val="24"/>
        </w:rPr>
        <w:t>)</w:t>
      </w:r>
      <w:r w:rsidRPr="00A325BF">
        <w:rPr>
          <w:rFonts w:asciiTheme="majorEastAsia" w:eastAsiaTheme="majorEastAsia" w:hAnsiTheme="majorEastAsia" w:hint="eastAsia"/>
          <w:sz w:val="24"/>
          <w:szCs w:val="24"/>
        </w:rPr>
        <w:t>年に民事司法改革課題に取り組む基本方針が定められ、</w:t>
      </w:r>
      <w:r w:rsidRPr="00A325BF">
        <w:rPr>
          <w:rFonts w:asciiTheme="majorEastAsia" w:eastAsiaTheme="majorEastAsia" w:hAnsiTheme="majorEastAsia" w:cs="Times New Roman"/>
          <w:sz w:val="24"/>
          <w:szCs w:val="24"/>
        </w:rPr>
        <w:t>2014</w:t>
      </w:r>
      <w:r w:rsidRPr="00A325BF">
        <w:rPr>
          <w:rFonts w:asciiTheme="majorEastAsia" w:eastAsiaTheme="majorEastAsia" w:hAnsiTheme="majorEastAsia"/>
          <w:sz w:val="24"/>
          <w:szCs w:val="24"/>
        </w:rPr>
        <w:t>(</w:t>
      </w:r>
      <w:r w:rsidRPr="00A325BF">
        <w:rPr>
          <w:rFonts w:asciiTheme="majorEastAsia" w:eastAsiaTheme="majorEastAsia" w:hAnsiTheme="majorEastAsia" w:hint="eastAsia"/>
          <w:sz w:val="24"/>
          <w:szCs w:val="24"/>
        </w:rPr>
        <w:t>平成</w:t>
      </w:r>
      <w:r w:rsidRPr="00A325BF">
        <w:rPr>
          <w:rFonts w:asciiTheme="majorEastAsia" w:eastAsiaTheme="majorEastAsia" w:hAnsiTheme="majorEastAsia" w:cs="Times New Roman"/>
          <w:sz w:val="24"/>
          <w:szCs w:val="24"/>
        </w:rPr>
        <w:t>26</w:t>
      </w:r>
      <w:r w:rsidRPr="00A325BF">
        <w:rPr>
          <w:rFonts w:asciiTheme="majorEastAsia" w:eastAsiaTheme="majorEastAsia" w:hAnsiTheme="majorEastAsia"/>
          <w:sz w:val="24"/>
          <w:szCs w:val="24"/>
        </w:rPr>
        <w:t>)</w:t>
      </w:r>
      <w:r w:rsidRPr="00A325BF">
        <w:rPr>
          <w:rFonts w:asciiTheme="majorEastAsia" w:eastAsiaTheme="majorEastAsia" w:hAnsiTheme="majorEastAsia" w:hint="eastAsia"/>
          <w:sz w:val="24"/>
          <w:szCs w:val="24"/>
        </w:rPr>
        <w:lastRenderedPageBreak/>
        <w:t>年</w:t>
      </w:r>
      <w:r w:rsidRPr="00A325BF">
        <w:rPr>
          <w:rFonts w:asciiTheme="majorEastAsia" w:eastAsiaTheme="majorEastAsia" w:hAnsiTheme="majorEastAsia" w:cs="Times New Roman"/>
          <w:sz w:val="24"/>
          <w:szCs w:val="24"/>
        </w:rPr>
        <w:t>9</w:t>
      </w:r>
      <w:r w:rsidRPr="00A325BF">
        <w:rPr>
          <w:rFonts w:asciiTheme="majorEastAsia" w:eastAsiaTheme="majorEastAsia" w:hAnsiTheme="majorEastAsia" w:hint="eastAsia"/>
          <w:sz w:val="24"/>
          <w:szCs w:val="24"/>
        </w:rPr>
        <w:t>月から</w:t>
      </w:r>
      <w:r w:rsidRPr="00A325BF">
        <w:rPr>
          <w:rFonts w:asciiTheme="majorEastAsia" w:eastAsiaTheme="majorEastAsia" w:hAnsiTheme="majorEastAsia" w:cs="Times New Roman"/>
          <w:sz w:val="24"/>
          <w:szCs w:val="24"/>
        </w:rPr>
        <w:t>2016</w:t>
      </w:r>
      <w:r w:rsidRPr="00A325BF">
        <w:rPr>
          <w:rFonts w:asciiTheme="majorEastAsia" w:eastAsiaTheme="majorEastAsia" w:hAnsiTheme="majorEastAsia"/>
          <w:sz w:val="24"/>
          <w:szCs w:val="24"/>
        </w:rPr>
        <w:t>(</w:t>
      </w:r>
      <w:r w:rsidRPr="00A325BF">
        <w:rPr>
          <w:rFonts w:asciiTheme="majorEastAsia" w:eastAsiaTheme="majorEastAsia" w:hAnsiTheme="majorEastAsia" w:hint="eastAsia"/>
          <w:sz w:val="24"/>
          <w:szCs w:val="24"/>
        </w:rPr>
        <w:t>平成</w:t>
      </w:r>
      <w:r w:rsidRPr="00A325BF">
        <w:rPr>
          <w:rFonts w:asciiTheme="majorEastAsia" w:eastAsiaTheme="majorEastAsia" w:hAnsiTheme="majorEastAsia" w:cs="Times New Roman"/>
          <w:sz w:val="24"/>
          <w:szCs w:val="24"/>
        </w:rPr>
        <w:t>28</w:t>
      </w:r>
      <w:r w:rsidRPr="00A325BF">
        <w:rPr>
          <w:rFonts w:asciiTheme="majorEastAsia" w:eastAsiaTheme="majorEastAsia" w:hAnsiTheme="majorEastAsia"/>
          <w:sz w:val="24"/>
          <w:szCs w:val="24"/>
        </w:rPr>
        <w:t>)</w:t>
      </w:r>
      <w:r w:rsidRPr="00A325BF">
        <w:rPr>
          <w:rFonts w:asciiTheme="majorEastAsia" w:eastAsiaTheme="majorEastAsia" w:hAnsiTheme="majorEastAsia" w:hint="eastAsia"/>
          <w:sz w:val="24"/>
          <w:szCs w:val="24"/>
        </w:rPr>
        <w:t>年</w:t>
      </w:r>
      <w:r w:rsidRPr="00A325BF">
        <w:rPr>
          <w:rFonts w:asciiTheme="majorEastAsia" w:eastAsiaTheme="majorEastAsia" w:hAnsiTheme="majorEastAsia" w:cs="Times New Roman"/>
          <w:sz w:val="24"/>
          <w:szCs w:val="24"/>
        </w:rPr>
        <w:t>1</w:t>
      </w:r>
      <w:r w:rsidRPr="00A325BF">
        <w:rPr>
          <w:rFonts w:asciiTheme="majorEastAsia" w:eastAsiaTheme="majorEastAsia" w:hAnsiTheme="majorEastAsia" w:hint="eastAsia"/>
          <w:sz w:val="24"/>
          <w:szCs w:val="24"/>
        </w:rPr>
        <w:t>月にかけて行われた最高裁との民事司法に関する第一次協議において、基盤整備に関しては、労働審判取扱支部の増加や、常駐支部、家裁出張所での補填回数の増加など一定の成果がみられた。また、判決・執行制度の拡充に関する協議を</w:t>
      </w:r>
      <w:r w:rsidR="004B10A1" w:rsidRPr="00A325BF">
        <w:rPr>
          <w:rFonts w:asciiTheme="majorEastAsia" w:eastAsiaTheme="majorEastAsia" w:hAnsiTheme="majorEastAsia" w:hint="eastAsia"/>
          <w:sz w:val="24"/>
          <w:szCs w:val="24"/>
        </w:rPr>
        <w:t>経て</w:t>
      </w:r>
      <w:r w:rsidRPr="00A325BF">
        <w:rPr>
          <w:rFonts w:asciiTheme="majorEastAsia" w:eastAsiaTheme="majorEastAsia" w:hAnsiTheme="majorEastAsia" w:hint="eastAsia"/>
          <w:sz w:val="24"/>
          <w:szCs w:val="24"/>
        </w:rPr>
        <w:t>法制審議会民事執行</w:t>
      </w:r>
      <w:r w:rsidR="001A0F0C" w:rsidRPr="00A325BF">
        <w:rPr>
          <w:rFonts w:asciiTheme="majorEastAsia" w:eastAsiaTheme="majorEastAsia" w:hAnsiTheme="majorEastAsia" w:hint="eastAsia"/>
          <w:sz w:val="24"/>
          <w:szCs w:val="24"/>
        </w:rPr>
        <w:t>法</w:t>
      </w:r>
      <w:r w:rsidRPr="00A325BF">
        <w:rPr>
          <w:rFonts w:asciiTheme="majorEastAsia" w:eastAsiaTheme="majorEastAsia" w:hAnsiTheme="majorEastAsia" w:hint="eastAsia"/>
          <w:sz w:val="24"/>
          <w:szCs w:val="24"/>
        </w:rPr>
        <w:t>部会において</w:t>
      </w:r>
      <w:r w:rsidR="00552DFB" w:rsidRPr="00A325BF">
        <w:rPr>
          <w:rFonts w:asciiTheme="majorEastAsia" w:eastAsiaTheme="majorEastAsia" w:hAnsiTheme="majorEastAsia" w:hint="eastAsia"/>
          <w:sz w:val="24"/>
          <w:szCs w:val="24"/>
        </w:rPr>
        <w:t>審議が重ねられ</w:t>
      </w:r>
      <w:r w:rsidRPr="00A325BF">
        <w:rPr>
          <w:rFonts w:asciiTheme="majorEastAsia" w:eastAsiaTheme="majorEastAsia" w:hAnsiTheme="majorEastAsia" w:hint="eastAsia"/>
          <w:sz w:val="24"/>
          <w:szCs w:val="24"/>
        </w:rPr>
        <w:t>、</w:t>
      </w:r>
      <w:r w:rsidR="00552DFB" w:rsidRPr="00A325BF">
        <w:rPr>
          <w:rFonts w:asciiTheme="majorEastAsia" w:eastAsiaTheme="majorEastAsia" w:hAnsiTheme="majorEastAsia"/>
          <w:sz w:val="24"/>
          <w:szCs w:val="24"/>
        </w:rPr>
        <w:t>2018</w:t>
      </w:r>
      <w:r w:rsidR="00552DFB" w:rsidRPr="00A325BF">
        <w:rPr>
          <w:rFonts w:asciiTheme="majorEastAsia" w:eastAsiaTheme="majorEastAsia" w:hAnsiTheme="majorEastAsia" w:hint="eastAsia"/>
          <w:sz w:val="24"/>
          <w:szCs w:val="24"/>
        </w:rPr>
        <w:t>（平成</w:t>
      </w:r>
      <w:r w:rsidR="00552DFB" w:rsidRPr="00A325BF">
        <w:rPr>
          <w:rFonts w:asciiTheme="majorEastAsia" w:eastAsiaTheme="majorEastAsia" w:hAnsiTheme="majorEastAsia"/>
          <w:sz w:val="24"/>
          <w:szCs w:val="24"/>
        </w:rPr>
        <w:t>30</w:t>
      </w:r>
      <w:r w:rsidR="00552DFB" w:rsidRPr="00A325BF">
        <w:rPr>
          <w:rFonts w:asciiTheme="majorEastAsia" w:eastAsiaTheme="majorEastAsia" w:hAnsiTheme="majorEastAsia" w:hint="eastAsia"/>
          <w:sz w:val="24"/>
          <w:szCs w:val="24"/>
        </w:rPr>
        <w:t>）年に「民事執行法制の見直しに関する要綱案」が取り纏められ、</w:t>
      </w:r>
      <w:r w:rsidR="001A0F0C" w:rsidRPr="00A325BF">
        <w:rPr>
          <w:rFonts w:asciiTheme="majorEastAsia" w:eastAsiaTheme="majorEastAsia" w:hAnsiTheme="majorEastAsia"/>
          <w:sz w:val="24"/>
          <w:szCs w:val="24"/>
        </w:rPr>
        <w:t>2019</w:t>
      </w:r>
      <w:r w:rsidR="001A0F0C" w:rsidRPr="00A325BF">
        <w:rPr>
          <w:rFonts w:asciiTheme="majorEastAsia" w:eastAsiaTheme="majorEastAsia" w:hAnsiTheme="majorEastAsia" w:hint="eastAsia"/>
          <w:sz w:val="24"/>
          <w:szCs w:val="24"/>
        </w:rPr>
        <w:t>（令和元）</w:t>
      </w:r>
      <w:r w:rsidRPr="00A325BF">
        <w:rPr>
          <w:rFonts w:asciiTheme="majorEastAsia" w:eastAsiaTheme="majorEastAsia" w:hAnsiTheme="majorEastAsia" w:hint="eastAsia"/>
          <w:sz w:val="24"/>
          <w:szCs w:val="24"/>
        </w:rPr>
        <w:t>年</w:t>
      </w:r>
      <w:r w:rsidR="001A0F0C" w:rsidRPr="00A325BF">
        <w:rPr>
          <w:rFonts w:asciiTheme="majorEastAsia" w:eastAsiaTheme="majorEastAsia" w:hAnsiTheme="majorEastAsia"/>
          <w:sz w:val="24"/>
          <w:szCs w:val="24"/>
        </w:rPr>
        <w:t>5</w:t>
      </w:r>
      <w:r w:rsidRPr="00A325BF">
        <w:rPr>
          <w:rFonts w:asciiTheme="majorEastAsia" w:eastAsiaTheme="majorEastAsia" w:hAnsiTheme="majorEastAsia" w:hint="eastAsia"/>
          <w:sz w:val="24"/>
          <w:szCs w:val="24"/>
        </w:rPr>
        <w:t>月</w:t>
      </w:r>
      <w:r w:rsidR="00552DFB" w:rsidRPr="00A325BF">
        <w:rPr>
          <w:rFonts w:asciiTheme="majorEastAsia" w:eastAsiaTheme="majorEastAsia" w:hAnsiTheme="majorEastAsia"/>
          <w:sz w:val="24"/>
          <w:szCs w:val="24"/>
        </w:rPr>
        <w:t>10</w:t>
      </w:r>
      <w:r w:rsidR="00552DFB" w:rsidRPr="00A325BF">
        <w:rPr>
          <w:rFonts w:asciiTheme="majorEastAsia" w:eastAsiaTheme="majorEastAsia" w:hAnsiTheme="majorEastAsia" w:hint="eastAsia"/>
          <w:sz w:val="24"/>
          <w:szCs w:val="24"/>
        </w:rPr>
        <w:t>日</w:t>
      </w:r>
      <w:r w:rsidRPr="00A325BF">
        <w:rPr>
          <w:rFonts w:asciiTheme="majorEastAsia" w:eastAsiaTheme="majorEastAsia" w:hAnsiTheme="majorEastAsia" w:hint="eastAsia"/>
          <w:sz w:val="24"/>
          <w:szCs w:val="24"/>
        </w:rPr>
        <w:t>に「民事執行法</w:t>
      </w:r>
      <w:r w:rsidR="001A0F0C" w:rsidRPr="00A325BF">
        <w:rPr>
          <w:rFonts w:asciiTheme="majorEastAsia" w:eastAsiaTheme="majorEastAsia" w:hAnsiTheme="majorEastAsia" w:hint="eastAsia"/>
          <w:sz w:val="24"/>
          <w:szCs w:val="24"/>
        </w:rPr>
        <w:t>及び国際的な子の</w:t>
      </w:r>
      <w:r w:rsidR="00552DFB" w:rsidRPr="00A325BF">
        <w:rPr>
          <w:rFonts w:asciiTheme="majorEastAsia" w:eastAsiaTheme="majorEastAsia" w:hAnsiTheme="majorEastAsia" w:hint="eastAsia"/>
          <w:sz w:val="24"/>
          <w:szCs w:val="24"/>
        </w:rPr>
        <w:t>奪取の民事上の側面に関する条約の実施に関する法律の一部を改正する法律」が成立し、同月</w:t>
      </w:r>
      <w:r w:rsidR="00552DFB" w:rsidRPr="00A325BF">
        <w:rPr>
          <w:rFonts w:asciiTheme="majorEastAsia" w:eastAsiaTheme="majorEastAsia" w:hAnsiTheme="majorEastAsia"/>
          <w:sz w:val="24"/>
          <w:szCs w:val="24"/>
        </w:rPr>
        <w:t>17</w:t>
      </w:r>
      <w:r w:rsidR="00552DFB" w:rsidRPr="00A325BF">
        <w:rPr>
          <w:rFonts w:asciiTheme="majorEastAsia" w:eastAsiaTheme="majorEastAsia" w:hAnsiTheme="majorEastAsia" w:hint="eastAsia"/>
          <w:sz w:val="24"/>
          <w:szCs w:val="24"/>
        </w:rPr>
        <w:t>日に公布された（</w:t>
      </w:r>
      <w:r w:rsidR="004B10A1" w:rsidRPr="00A325BF">
        <w:rPr>
          <w:rFonts w:asciiTheme="majorEastAsia" w:eastAsiaTheme="majorEastAsia" w:hAnsiTheme="majorEastAsia" w:hint="eastAsia"/>
          <w:sz w:val="24"/>
          <w:szCs w:val="24"/>
        </w:rPr>
        <w:t>一部を除き</w:t>
      </w:r>
      <w:r w:rsidR="00552DFB" w:rsidRPr="00A325BF">
        <w:rPr>
          <w:rFonts w:asciiTheme="majorEastAsia" w:eastAsiaTheme="majorEastAsia" w:hAnsiTheme="majorEastAsia" w:hint="eastAsia"/>
          <w:sz w:val="24"/>
          <w:szCs w:val="24"/>
        </w:rPr>
        <w:t>公布後</w:t>
      </w:r>
      <w:r w:rsidR="00552DFB" w:rsidRPr="00A325BF">
        <w:rPr>
          <w:rFonts w:asciiTheme="majorEastAsia" w:eastAsiaTheme="majorEastAsia" w:hAnsiTheme="majorEastAsia"/>
          <w:sz w:val="24"/>
          <w:szCs w:val="24"/>
        </w:rPr>
        <w:t>1</w:t>
      </w:r>
      <w:r w:rsidR="00552DFB" w:rsidRPr="00A325BF">
        <w:rPr>
          <w:rFonts w:asciiTheme="majorEastAsia" w:eastAsiaTheme="majorEastAsia" w:hAnsiTheme="majorEastAsia" w:hint="eastAsia"/>
          <w:sz w:val="24"/>
          <w:szCs w:val="24"/>
        </w:rPr>
        <w:t>年以内の施行が予定されている）。</w:t>
      </w:r>
      <w:r w:rsidRPr="00A325BF">
        <w:rPr>
          <w:rFonts w:asciiTheme="majorEastAsia" w:eastAsiaTheme="majorEastAsia" w:hAnsiTheme="majorEastAsia" w:hint="eastAsia"/>
          <w:sz w:val="24"/>
          <w:szCs w:val="24"/>
        </w:rPr>
        <w:t>現在は、</w:t>
      </w:r>
      <w:r w:rsidRPr="00A325BF">
        <w:rPr>
          <w:rFonts w:asciiTheme="majorEastAsia" w:eastAsiaTheme="majorEastAsia" w:hAnsiTheme="majorEastAsia" w:cs="Times New Roman"/>
          <w:sz w:val="24"/>
          <w:szCs w:val="24"/>
        </w:rPr>
        <w:t>I T</w:t>
      </w:r>
      <w:r w:rsidRPr="00A325BF">
        <w:rPr>
          <w:rFonts w:asciiTheme="majorEastAsia" w:eastAsiaTheme="majorEastAsia" w:hAnsiTheme="majorEastAsia" w:hint="eastAsia"/>
          <w:sz w:val="24"/>
          <w:szCs w:val="24"/>
        </w:rPr>
        <w:t>技術活用による裁判の利便性の促進を中心に最高裁との第二次協議が開始されて</w:t>
      </w:r>
      <w:r w:rsidR="00C4380F" w:rsidRPr="00A325BF">
        <w:rPr>
          <w:rFonts w:asciiTheme="majorEastAsia" w:eastAsiaTheme="majorEastAsia" w:hAnsiTheme="majorEastAsia" w:hint="eastAsia"/>
          <w:sz w:val="24"/>
          <w:szCs w:val="24"/>
        </w:rPr>
        <w:t>おり、</w:t>
      </w:r>
      <w:r w:rsidR="00C4380F" w:rsidRPr="00A325BF">
        <w:rPr>
          <w:rFonts w:asciiTheme="majorEastAsia" w:eastAsiaTheme="majorEastAsia" w:hAnsiTheme="majorEastAsia"/>
          <w:sz w:val="24"/>
          <w:szCs w:val="24"/>
        </w:rPr>
        <w:t>2020</w:t>
      </w:r>
      <w:r w:rsidR="00C4380F" w:rsidRPr="00A325BF">
        <w:rPr>
          <w:rFonts w:asciiTheme="majorEastAsia" w:eastAsiaTheme="majorEastAsia" w:hAnsiTheme="majorEastAsia" w:hint="eastAsia"/>
          <w:sz w:val="24"/>
          <w:szCs w:val="24"/>
        </w:rPr>
        <w:t>（令和</w:t>
      </w:r>
      <w:r w:rsidR="00C4380F" w:rsidRPr="00A325BF">
        <w:rPr>
          <w:rFonts w:asciiTheme="majorEastAsia" w:eastAsiaTheme="majorEastAsia" w:hAnsiTheme="majorEastAsia"/>
          <w:sz w:val="24"/>
          <w:szCs w:val="24"/>
        </w:rPr>
        <w:t>2</w:t>
      </w:r>
      <w:r w:rsidR="00C4380F" w:rsidRPr="00A325BF">
        <w:rPr>
          <w:rFonts w:asciiTheme="majorEastAsia" w:eastAsiaTheme="majorEastAsia" w:hAnsiTheme="majorEastAsia" w:hint="eastAsia"/>
          <w:sz w:val="24"/>
          <w:szCs w:val="24"/>
        </w:rPr>
        <w:t>年）</w:t>
      </w:r>
      <w:r w:rsidR="00C4380F" w:rsidRPr="00A325BF">
        <w:rPr>
          <w:rFonts w:asciiTheme="majorEastAsia" w:eastAsiaTheme="majorEastAsia" w:hAnsiTheme="majorEastAsia"/>
          <w:sz w:val="24"/>
          <w:szCs w:val="24"/>
        </w:rPr>
        <w:t>2</w:t>
      </w:r>
      <w:r w:rsidR="00C4380F" w:rsidRPr="00A325BF">
        <w:rPr>
          <w:rFonts w:asciiTheme="majorEastAsia" w:eastAsiaTheme="majorEastAsia" w:hAnsiTheme="majorEastAsia" w:hint="eastAsia"/>
          <w:sz w:val="24"/>
          <w:szCs w:val="24"/>
        </w:rPr>
        <w:t>月頃より東京地裁を含む特定庁にてウェブ会議等を活用した争点整理手続の運用が開始される予定であ</w:t>
      </w:r>
      <w:r w:rsidRPr="00A325BF">
        <w:rPr>
          <w:rFonts w:asciiTheme="majorEastAsia" w:eastAsiaTheme="majorEastAsia" w:hAnsiTheme="majorEastAsia" w:hint="eastAsia"/>
          <w:sz w:val="24"/>
          <w:szCs w:val="24"/>
        </w:rPr>
        <w:t>る。</w:t>
      </w:r>
    </w:p>
    <w:p w14:paraId="23563A2D" w14:textId="77777777" w:rsidR="009B33F1" w:rsidRPr="00A325BF" w:rsidRDefault="009B33F1">
      <w:pPr>
        <w:adjustRightInd/>
        <w:rPr>
          <w:rFonts w:asciiTheme="majorEastAsia" w:eastAsiaTheme="majorEastAsia" w:hAnsiTheme="majorEastAsia" w:cs="Times New Roman"/>
          <w:sz w:val="24"/>
          <w:szCs w:val="24"/>
        </w:rPr>
      </w:pPr>
      <w:r w:rsidRPr="00A325BF">
        <w:rPr>
          <w:rFonts w:asciiTheme="majorEastAsia" w:eastAsiaTheme="majorEastAsia" w:hAnsiTheme="majorEastAsia" w:hint="eastAsia"/>
          <w:sz w:val="24"/>
          <w:szCs w:val="24"/>
        </w:rPr>
        <w:t xml:space="preserve">　その間、</w:t>
      </w:r>
      <w:r w:rsidRPr="00A325BF">
        <w:rPr>
          <w:rFonts w:asciiTheme="majorEastAsia" w:eastAsiaTheme="majorEastAsia" w:hAnsiTheme="majorEastAsia" w:cs="Times New Roman"/>
          <w:sz w:val="24"/>
          <w:szCs w:val="24"/>
        </w:rPr>
        <w:t>2017</w:t>
      </w:r>
      <w:r w:rsidRPr="00A325BF">
        <w:rPr>
          <w:rFonts w:asciiTheme="majorEastAsia" w:eastAsiaTheme="majorEastAsia" w:hAnsiTheme="majorEastAsia"/>
          <w:sz w:val="24"/>
          <w:szCs w:val="24"/>
        </w:rPr>
        <w:t>(</w:t>
      </w:r>
      <w:r w:rsidRPr="00A325BF">
        <w:rPr>
          <w:rFonts w:asciiTheme="majorEastAsia" w:eastAsiaTheme="majorEastAsia" w:hAnsiTheme="majorEastAsia" w:hint="eastAsia"/>
          <w:sz w:val="24"/>
          <w:szCs w:val="24"/>
        </w:rPr>
        <w:t>平成</w:t>
      </w:r>
      <w:r w:rsidRPr="00A325BF">
        <w:rPr>
          <w:rFonts w:asciiTheme="majorEastAsia" w:eastAsiaTheme="majorEastAsia" w:hAnsiTheme="majorEastAsia" w:cs="Times New Roman"/>
          <w:sz w:val="24"/>
          <w:szCs w:val="24"/>
        </w:rPr>
        <w:t>29</w:t>
      </w:r>
      <w:r w:rsidRPr="00A325BF">
        <w:rPr>
          <w:rFonts w:asciiTheme="majorEastAsia" w:eastAsiaTheme="majorEastAsia" w:hAnsiTheme="majorEastAsia"/>
          <w:sz w:val="24"/>
          <w:szCs w:val="24"/>
        </w:rPr>
        <w:t>)</w:t>
      </w:r>
      <w:r w:rsidRPr="00A325BF">
        <w:rPr>
          <w:rFonts w:asciiTheme="majorEastAsia" w:eastAsiaTheme="majorEastAsia" w:hAnsiTheme="majorEastAsia" w:hint="eastAsia"/>
          <w:sz w:val="24"/>
          <w:szCs w:val="24"/>
        </w:rPr>
        <w:t>年</w:t>
      </w:r>
      <w:r w:rsidRPr="00A325BF">
        <w:rPr>
          <w:rFonts w:asciiTheme="majorEastAsia" w:eastAsiaTheme="majorEastAsia" w:hAnsiTheme="majorEastAsia" w:cs="Times New Roman"/>
          <w:sz w:val="24"/>
          <w:szCs w:val="24"/>
        </w:rPr>
        <w:t>6</w:t>
      </w:r>
      <w:r w:rsidRPr="00A325BF">
        <w:rPr>
          <w:rFonts w:asciiTheme="majorEastAsia" w:eastAsiaTheme="majorEastAsia" w:hAnsiTheme="majorEastAsia" w:hint="eastAsia"/>
          <w:sz w:val="24"/>
          <w:szCs w:val="24"/>
        </w:rPr>
        <w:t>月に自民党司法制度調査会において、司法外交の新機軸～</w:t>
      </w:r>
      <w:r w:rsidRPr="00A325BF">
        <w:rPr>
          <w:rFonts w:asciiTheme="majorEastAsia" w:eastAsiaTheme="majorEastAsia" w:hAnsiTheme="majorEastAsia" w:cs="Times New Roman"/>
          <w:sz w:val="24"/>
          <w:szCs w:val="24"/>
        </w:rPr>
        <w:t>5</w:t>
      </w:r>
      <w:r w:rsidRPr="00A325BF">
        <w:rPr>
          <w:rFonts w:asciiTheme="majorEastAsia" w:eastAsiaTheme="majorEastAsia" w:hAnsiTheme="majorEastAsia" w:hint="eastAsia"/>
          <w:sz w:val="24"/>
          <w:szCs w:val="24"/>
        </w:rPr>
        <w:t>つの方針と</w:t>
      </w:r>
      <w:r w:rsidRPr="00A325BF">
        <w:rPr>
          <w:rFonts w:asciiTheme="majorEastAsia" w:eastAsiaTheme="majorEastAsia" w:hAnsiTheme="majorEastAsia" w:cs="Times New Roman"/>
          <w:sz w:val="24"/>
          <w:szCs w:val="24"/>
        </w:rPr>
        <w:t>8</w:t>
      </w:r>
      <w:r w:rsidRPr="00A325BF">
        <w:rPr>
          <w:rFonts w:asciiTheme="majorEastAsia" w:eastAsiaTheme="majorEastAsia" w:hAnsiTheme="majorEastAsia" w:hint="eastAsia"/>
          <w:sz w:val="24"/>
          <w:szCs w:val="24"/>
        </w:rPr>
        <w:t>つの戦略の最終提言がされ、法制度のグローバル化を視野に知的財産分野での民事救済制度の整備、依頼者と弁護士の通信秘密保護制度の導入、証拠開示制度の充実等の必要性や国際紛争に対処する処理能力の向上等を検討し、そのうち可能なものから実施すべきであるとされている。</w:t>
      </w:r>
    </w:p>
    <w:p w14:paraId="3E02A53E" w14:textId="77777777" w:rsidR="009B33F1" w:rsidRPr="00A325BF" w:rsidRDefault="009B33F1">
      <w:pPr>
        <w:adjustRightInd/>
        <w:rPr>
          <w:rFonts w:asciiTheme="majorEastAsia" w:eastAsiaTheme="majorEastAsia" w:hAnsiTheme="majorEastAsia" w:cs="Times New Roman"/>
          <w:sz w:val="24"/>
          <w:szCs w:val="24"/>
        </w:rPr>
      </w:pPr>
      <w:r w:rsidRPr="00A325BF">
        <w:rPr>
          <w:rFonts w:asciiTheme="majorEastAsia" w:eastAsiaTheme="majorEastAsia" w:hAnsiTheme="majorEastAsia" w:hint="eastAsia"/>
          <w:sz w:val="24"/>
          <w:szCs w:val="24"/>
        </w:rPr>
        <w:t xml:space="preserve">　これらを背景に、日弁連では、民事司法改革推進本部が</w:t>
      </w:r>
      <w:r w:rsidRPr="00A325BF">
        <w:rPr>
          <w:rFonts w:asciiTheme="majorEastAsia" w:eastAsiaTheme="majorEastAsia" w:hAnsiTheme="majorEastAsia" w:cs="Times New Roman"/>
          <w:sz w:val="24"/>
          <w:szCs w:val="24"/>
        </w:rPr>
        <w:t>2017</w:t>
      </w:r>
      <w:r w:rsidRPr="00A325BF">
        <w:rPr>
          <w:rFonts w:asciiTheme="majorEastAsia" w:eastAsiaTheme="majorEastAsia" w:hAnsiTheme="majorEastAsia"/>
          <w:sz w:val="24"/>
          <w:szCs w:val="24"/>
        </w:rPr>
        <w:t>(</w:t>
      </w:r>
      <w:r w:rsidRPr="00A325BF">
        <w:rPr>
          <w:rFonts w:asciiTheme="majorEastAsia" w:eastAsiaTheme="majorEastAsia" w:hAnsiTheme="majorEastAsia" w:hint="eastAsia"/>
          <w:sz w:val="24"/>
          <w:szCs w:val="24"/>
        </w:rPr>
        <w:t>平成</w:t>
      </w:r>
      <w:r w:rsidRPr="00A325BF">
        <w:rPr>
          <w:rFonts w:asciiTheme="majorEastAsia" w:eastAsiaTheme="majorEastAsia" w:hAnsiTheme="majorEastAsia" w:cs="Times New Roman"/>
          <w:sz w:val="24"/>
          <w:szCs w:val="24"/>
        </w:rPr>
        <w:t>29</w:t>
      </w:r>
      <w:r w:rsidRPr="00A325BF">
        <w:rPr>
          <w:rFonts w:asciiTheme="majorEastAsia" w:eastAsiaTheme="majorEastAsia" w:hAnsiTheme="majorEastAsia"/>
          <w:sz w:val="24"/>
          <w:szCs w:val="24"/>
        </w:rPr>
        <w:t>)</w:t>
      </w:r>
      <w:r w:rsidRPr="00A325BF">
        <w:rPr>
          <w:rFonts w:asciiTheme="majorEastAsia" w:eastAsiaTheme="majorEastAsia" w:hAnsiTheme="majorEastAsia" w:hint="eastAsia"/>
          <w:sz w:val="24"/>
          <w:szCs w:val="24"/>
        </w:rPr>
        <w:t>年</w:t>
      </w:r>
      <w:r w:rsidRPr="00A325BF">
        <w:rPr>
          <w:rFonts w:asciiTheme="majorEastAsia" w:eastAsiaTheme="majorEastAsia" w:hAnsiTheme="majorEastAsia" w:cs="Times New Roman"/>
          <w:sz w:val="24"/>
          <w:szCs w:val="24"/>
        </w:rPr>
        <w:t>6</w:t>
      </w:r>
      <w:r w:rsidRPr="00A325BF">
        <w:rPr>
          <w:rFonts w:asciiTheme="majorEastAsia" w:eastAsiaTheme="majorEastAsia" w:hAnsiTheme="majorEastAsia" w:hint="eastAsia"/>
          <w:sz w:val="24"/>
          <w:szCs w:val="24"/>
        </w:rPr>
        <w:t>月に民事司法改革総合推進本部として改組され、</w:t>
      </w:r>
      <w:r w:rsidRPr="00A325BF">
        <w:rPr>
          <w:rFonts w:asciiTheme="majorEastAsia" w:eastAsiaTheme="majorEastAsia" w:hAnsiTheme="majorEastAsia" w:cs="Times New Roman"/>
          <w:sz w:val="24"/>
          <w:szCs w:val="24"/>
        </w:rPr>
        <w:t>2018</w:t>
      </w:r>
      <w:r w:rsidRPr="00A325BF">
        <w:rPr>
          <w:rFonts w:asciiTheme="majorEastAsia" w:eastAsiaTheme="majorEastAsia" w:hAnsiTheme="majorEastAsia"/>
          <w:sz w:val="24"/>
          <w:szCs w:val="24"/>
        </w:rPr>
        <w:t>(</w:t>
      </w:r>
      <w:r w:rsidRPr="00A325BF">
        <w:rPr>
          <w:rFonts w:asciiTheme="majorEastAsia" w:eastAsiaTheme="majorEastAsia" w:hAnsiTheme="majorEastAsia" w:hint="eastAsia"/>
          <w:sz w:val="24"/>
          <w:szCs w:val="24"/>
        </w:rPr>
        <w:t>平成</w:t>
      </w:r>
      <w:r w:rsidRPr="00A325BF">
        <w:rPr>
          <w:rFonts w:asciiTheme="majorEastAsia" w:eastAsiaTheme="majorEastAsia" w:hAnsiTheme="majorEastAsia" w:cs="Times New Roman"/>
          <w:sz w:val="24"/>
          <w:szCs w:val="24"/>
        </w:rPr>
        <w:t>30</w:t>
      </w:r>
      <w:r w:rsidRPr="00A325BF">
        <w:rPr>
          <w:rFonts w:asciiTheme="majorEastAsia" w:eastAsiaTheme="majorEastAsia" w:hAnsiTheme="majorEastAsia"/>
          <w:sz w:val="24"/>
          <w:szCs w:val="24"/>
        </w:rPr>
        <w:t>)</w:t>
      </w:r>
      <w:r w:rsidRPr="00A325BF">
        <w:rPr>
          <w:rFonts w:asciiTheme="majorEastAsia" w:eastAsiaTheme="majorEastAsia" w:hAnsiTheme="majorEastAsia" w:hint="eastAsia"/>
          <w:sz w:val="24"/>
          <w:szCs w:val="24"/>
        </w:rPr>
        <w:t>年度の活動方針として、証拠開示制度の充実、依頼者と弁護士の通信秘密保護の制度強化、知財分野の民事救済制度の整備、国際商事仲裁</w:t>
      </w:r>
      <w:r w:rsidRPr="00A325BF">
        <w:rPr>
          <w:rFonts w:asciiTheme="majorEastAsia" w:eastAsiaTheme="majorEastAsia" w:hAnsiTheme="majorEastAsia" w:cs="Times New Roman"/>
          <w:sz w:val="24"/>
          <w:szCs w:val="24"/>
        </w:rPr>
        <w:t>ADR</w:t>
      </w:r>
      <w:r w:rsidRPr="00A325BF">
        <w:rPr>
          <w:rFonts w:asciiTheme="majorEastAsia" w:eastAsiaTheme="majorEastAsia" w:hAnsiTheme="majorEastAsia" w:hint="eastAsia"/>
          <w:sz w:val="24"/>
          <w:szCs w:val="24"/>
        </w:rPr>
        <w:t>の基盤整備等、アジア地域における弁護士規制の緩和、裁判所の基盤整備、損害賠償</w:t>
      </w:r>
      <w:r w:rsidR="00C4380F" w:rsidRPr="00A325BF">
        <w:rPr>
          <w:rFonts w:asciiTheme="majorEastAsia" w:eastAsiaTheme="majorEastAsia" w:hAnsiTheme="majorEastAsia" w:hint="eastAsia"/>
          <w:sz w:val="24"/>
          <w:szCs w:val="24"/>
        </w:rPr>
        <w:t>制度</w:t>
      </w:r>
      <w:r w:rsidRPr="00A325BF">
        <w:rPr>
          <w:rFonts w:asciiTheme="majorEastAsia" w:eastAsiaTheme="majorEastAsia" w:hAnsiTheme="majorEastAsia" w:hint="eastAsia"/>
          <w:sz w:val="24"/>
          <w:szCs w:val="24"/>
        </w:rPr>
        <w:t>の検討、司法アクセスの拡充、新検討組織の検討、民事司法改革シンポジウムの開催等が定められた。東弁の民事司法改革実現本部もこれらの活動をバックアップすべく活動の範囲を広げている。当会としても、これらの分野における各方面の活動を注視し、民事司法改革の急速な展開に対応していくため、会務委員会に民事司法改革プロジェクトチームを設けて論点ごとの検討を行っているところである。</w:t>
      </w:r>
    </w:p>
    <w:p w14:paraId="068A0DA6" w14:textId="77777777" w:rsidR="009B33F1" w:rsidRDefault="009B33F1">
      <w:pPr>
        <w:adjustRightInd/>
        <w:rPr>
          <w:rFonts w:ascii="ＭＳ 明朝" w:cs="Times New Roman"/>
        </w:rPr>
      </w:pPr>
    </w:p>
    <w:p w14:paraId="793A4FC6" w14:textId="77777777" w:rsidR="009B33F1" w:rsidRDefault="009B33F1">
      <w:pPr>
        <w:adjustRightInd/>
        <w:rPr>
          <w:rFonts w:ascii="ＭＳ 明朝" w:cs="Times New Roman"/>
        </w:rPr>
      </w:pPr>
      <w:r>
        <w:rPr>
          <w:rFonts w:cs="Times New Roman"/>
          <w:b/>
          <w:bCs/>
          <w:sz w:val="21"/>
          <w:szCs w:val="21"/>
        </w:rPr>
        <w:t>1</w:t>
      </w:r>
      <w:r>
        <w:rPr>
          <w:rFonts w:hint="eastAsia"/>
          <w:b/>
          <w:bCs/>
          <w:sz w:val="21"/>
          <w:szCs w:val="21"/>
        </w:rPr>
        <w:t xml:space="preserve">　証拠収集手段の拡充</w:t>
      </w:r>
    </w:p>
    <w:p w14:paraId="4D136128" w14:textId="77777777" w:rsidR="009B33F1" w:rsidRDefault="009B33F1">
      <w:pPr>
        <w:numPr>
          <w:ilvl w:val="0"/>
          <w:numId w:val="1"/>
        </w:numPr>
        <w:tabs>
          <w:tab w:val="left" w:pos="446"/>
        </w:tabs>
        <w:adjustRightInd/>
        <w:rPr>
          <w:rFonts w:cs="Times New Roman"/>
          <w:sz w:val="21"/>
          <w:szCs w:val="21"/>
        </w:rPr>
      </w:pPr>
      <w:r>
        <w:rPr>
          <w:rFonts w:hint="eastAsia"/>
          <w:sz w:val="21"/>
          <w:szCs w:val="21"/>
        </w:rPr>
        <w:t>証拠収集手段を拡充すべきである。</w:t>
      </w:r>
    </w:p>
    <w:p w14:paraId="7B8309AE" w14:textId="77777777" w:rsidR="009B33F1" w:rsidRDefault="009B33F1">
      <w:pPr>
        <w:adjustRightInd/>
        <w:rPr>
          <w:rFonts w:ascii="ＭＳ 明朝" w:cs="Times New Roman"/>
        </w:rPr>
      </w:pPr>
      <w:r>
        <w:rPr>
          <w:rFonts w:hint="eastAsia"/>
          <w:sz w:val="21"/>
          <w:szCs w:val="21"/>
        </w:rPr>
        <w:t xml:space="preserve">　文書は、民事裁判手続において、結論に直結する影響力を有する証拠方法である。弁論主義は、主張や証拠の提出につき訴訟当事者に主導権を認めているが、真実発見の前には一定の譲歩が迫られる。民事裁判が真実に迫ることを可能にしてこそ訴訟代理人たる弁護士の活動も社会的に尊重される価値をもつ。立証責任を負わない事実についての消極的な訴訟追行態度がかえって民事司法裁判と弁護士活動の信頼を減殺していないか意識すべきである。書証の申出がなされる場合、文書の所持者にその提出を求めて申立てすることが認められているが、これを拡充する必要性がある。</w:t>
      </w:r>
    </w:p>
    <w:p w14:paraId="6D17435B" w14:textId="77777777" w:rsidR="009B33F1" w:rsidRDefault="009B33F1">
      <w:pPr>
        <w:adjustRightInd/>
        <w:rPr>
          <w:rFonts w:ascii="ＭＳ 明朝" w:cs="Times New Roman"/>
        </w:rPr>
      </w:pPr>
      <w:r>
        <w:rPr>
          <w:rFonts w:hint="eastAsia"/>
          <w:sz w:val="21"/>
          <w:szCs w:val="21"/>
        </w:rPr>
        <w:t xml:space="preserve">　　　</w:t>
      </w:r>
    </w:p>
    <w:p w14:paraId="307FF0AC" w14:textId="77777777" w:rsidR="009B33F1" w:rsidRDefault="009B33F1">
      <w:pPr>
        <w:adjustRightInd/>
        <w:rPr>
          <w:rFonts w:ascii="ＭＳ 明朝" w:cs="Times New Roman"/>
        </w:rPr>
      </w:pPr>
      <w:r>
        <w:rPr>
          <w:rFonts w:ascii="ＭＳ 明朝" w:hAnsi="ＭＳ 明朝"/>
          <w:sz w:val="21"/>
          <w:szCs w:val="21"/>
        </w:rPr>
        <w:t>(</w:t>
      </w:r>
      <w:r>
        <w:rPr>
          <w:rFonts w:cs="Times New Roman"/>
          <w:sz w:val="21"/>
          <w:szCs w:val="21"/>
        </w:rPr>
        <w:t>2</w:t>
      </w:r>
      <w:r>
        <w:rPr>
          <w:rFonts w:ascii="ＭＳ 明朝" w:hAnsi="ＭＳ 明朝"/>
          <w:sz w:val="21"/>
          <w:szCs w:val="21"/>
        </w:rPr>
        <w:t>)</w:t>
      </w:r>
      <w:r>
        <w:rPr>
          <w:rFonts w:hint="eastAsia"/>
          <w:sz w:val="21"/>
          <w:szCs w:val="21"/>
        </w:rPr>
        <w:t xml:space="preserve">　文書提出命令に関して</w:t>
      </w:r>
    </w:p>
    <w:p w14:paraId="3740BEA4" w14:textId="77777777" w:rsidR="009B33F1" w:rsidRDefault="009B33F1">
      <w:pPr>
        <w:adjustRightInd/>
        <w:ind w:left="556" w:hanging="222"/>
        <w:rPr>
          <w:rFonts w:ascii="ＭＳ 明朝" w:cs="Times New Roman"/>
        </w:rPr>
      </w:pPr>
      <w:r>
        <w:rPr>
          <w:rFonts w:hint="eastAsia"/>
          <w:sz w:val="21"/>
          <w:szCs w:val="21"/>
        </w:rPr>
        <w:t>ア　自己利用文書を文書提出義務の除外事由とする民事訴訟法</w:t>
      </w:r>
      <w:r>
        <w:rPr>
          <w:rFonts w:cs="Times New Roman"/>
          <w:sz w:val="21"/>
          <w:szCs w:val="21"/>
        </w:rPr>
        <w:t>220</w:t>
      </w:r>
      <w:r>
        <w:rPr>
          <w:rFonts w:hint="eastAsia"/>
          <w:sz w:val="21"/>
          <w:szCs w:val="21"/>
        </w:rPr>
        <w:t>条</w:t>
      </w:r>
      <w:r>
        <w:rPr>
          <w:rFonts w:cs="Times New Roman"/>
          <w:sz w:val="21"/>
          <w:szCs w:val="21"/>
        </w:rPr>
        <w:t>4</w:t>
      </w:r>
      <w:r>
        <w:rPr>
          <w:rFonts w:hint="eastAsia"/>
          <w:sz w:val="21"/>
          <w:szCs w:val="21"/>
        </w:rPr>
        <w:t>号二</w:t>
      </w:r>
      <w:r>
        <w:rPr>
          <w:rFonts w:ascii="ＭＳ 明朝" w:hAnsi="ＭＳ 明朝"/>
          <w:sz w:val="21"/>
          <w:szCs w:val="21"/>
        </w:rPr>
        <w:t>(</w:t>
      </w:r>
      <w:r>
        <w:rPr>
          <w:rFonts w:hint="eastAsia"/>
          <w:sz w:val="21"/>
          <w:szCs w:val="21"/>
        </w:rPr>
        <w:t>専ら文書の所持者の利用に供するための文書</w:t>
      </w:r>
      <w:r>
        <w:rPr>
          <w:rFonts w:ascii="ＭＳ 明朝" w:hAnsi="ＭＳ 明朝"/>
          <w:sz w:val="21"/>
          <w:szCs w:val="21"/>
        </w:rPr>
        <w:t>)</w:t>
      </w:r>
      <w:r>
        <w:rPr>
          <w:rFonts w:hint="eastAsia"/>
          <w:sz w:val="21"/>
          <w:szCs w:val="21"/>
        </w:rPr>
        <w:t>を削除すべきである。</w:t>
      </w:r>
    </w:p>
    <w:p w14:paraId="49DE7058" w14:textId="77777777" w:rsidR="009B33F1" w:rsidRDefault="009B33F1">
      <w:pPr>
        <w:adjustRightInd/>
        <w:ind w:left="556" w:hanging="222"/>
        <w:rPr>
          <w:rFonts w:ascii="ＭＳ 明朝" w:cs="Times New Roman"/>
        </w:rPr>
      </w:pPr>
      <w:r>
        <w:rPr>
          <w:rFonts w:hint="eastAsia"/>
          <w:sz w:val="21"/>
          <w:szCs w:val="21"/>
        </w:rPr>
        <w:lastRenderedPageBreak/>
        <w:t xml:space="preserve">　自己利用文書の典型例が金融機関の作成する貸出稟議書であり、最高裁は、これが開示されると、金融機関の「自由な意思形成」が阻害されるおそれがあるという</w:t>
      </w:r>
      <w:r>
        <w:rPr>
          <w:rFonts w:ascii="ＭＳ 明朝" w:hAnsi="ＭＳ 明朝"/>
          <w:sz w:val="21"/>
          <w:szCs w:val="21"/>
        </w:rPr>
        <w:t>(</w:t>
      </w:r>
      <w:r>
        <w:rPr>
          <w:rFonts w:hint="eastAsia"/>
          <w:sz w:val="21"/>
          <w:szCs w:val="21"/>
        </w:rPr>
        <w:t>最決平成</w:t>
      </w:r>
      <w:r>
        <w:rPr>
          <w:rFonts w:cs="Times New Roman"/>
          <w:sz w:val="21"/>
          <w:szCs w:val="21"/>
        </w:rPr>
        <w:t>11</w:t>
      </w:r>
      <w:r>
        <w:rPr>
          <w:rFonts w:hint="eastAsia"/>
          <w:sz w:val="21"/>
          <w:szCs w:val="21"/>
        </w:rPr>
        <w:t>年</w:t>
      </w:r>
      <w:r>
        <w:rPr>
          <w:rFonts w:cs="Times New Roman"/>
          <w:sz w:val="21"/>
          <w:szCs w:val="21"/>
        </w:rPr>
        <w:t>11</w:t>
      </w:r>
      <w:r>
        <w:rPr>
          <w:rFonts w:hint="eastAsia"/>
          <w:sz w:val="21"/>
          <w:szCs w:val="21"/>
        </w:rPr>
        <w:t>月</w:t>
      </w:r>
      <w:r>
        <w:rPr>
          <w:rFonts w:cs="Times New Roman"/>
          <w:sz w:val="21"/>
          <w:szCs w:val="21"/>
        </w:rPr>
        <w:t>12</w:t>
      </w:r>
      <w:r>
        <w:rPr>
          <w:rFonts w:hint="eastAsia"/>
          <w:sz w:val="21"/>
          <w:szCs w:val="21"/>
        </w:rPr>
        <w:t>日民集</w:t>
      </w:r>
      <w:r>
        <w:rPr>
          <w:rFonts w:cs="Times New Roman"/>
          <w:sz w:val="21"/>
          <w:szCs w:val="21"/>
        </w:rPr>
        <w:t>53</w:t>
      </w:r>
      <w:r>
        <w:rPr>
          <w:rFonts w:hint="eastAsia"/>
          <w:sz w:val="21"/>
          <w:szCs w:val="21"/>
        </w:rPr>
        <w:t>巻</w:t>
      </w:r>
      <w:r>
        <w:rPr>
          <w:rFonts w:cs="Times New Roman"/>
          <w:sz w:val="21"/>
          <w:szCs w:val="21"/>
        </w:rPr>
        <w:t>8</w:t>
      </w:r>
      <w:r>
        <w:rPr>
          <w:rFonts w:hint="eastAsia"/>
          <w:sz w:val="21"/>
          <w:szCs w:val="21"/>
        </w:rPr>
        <w:t>号</w:t>
      </w:r>
      <w:r>
        <w:rPr>
          <w:rFonts w:cs="Times New Roman"/>
          <w:sz w:val="21"/>
          <w:szCs w:val="21"/>
        </w:rPr>
        <w:t>1787</w:t>
      </w:r>
      <w:r>
        <w:rPr>
          <w:rFonts w:hint="eastAsia"/>
          <w:sz w:val="21"/>
          <w:szCs w:val="21"/>
        </w:rPr>
        <w:t>頁</w:t>
      </w:r>
      <w:r>
        <w:rPr>
          <w:rFonts w:ascii="ＭＳ 明朝" w:hAnsi="ＭＳ 明朝"/>
          <w:sz w:val="21"/>
          <w:szCs w:val="21"/>
        </w:rPr>
        <w:t>)</w:t>
      </w:r>
      <w:r>
        <w:rPr>
          <w:rFonts w:hint="eastAsia"/>
          <w:sz w:val="21"/>
          <w:szCs w:val="21"/>
        </w:rPr>
        <w:t>。しかし、将来紛争が生じ、それが訴訟に発展した場合において内部文書の開示を命じられるかもしれないという潜在的・抽象的なリスクが、団体の「自由な意思形成」を阻害</w:t>
      </w:r>
      <w:r w:rsidR="00A668BF">
        <w:rPr>
          <w:rFonts w:hint="eastAsia"/>
          <w:sz w:val="21"/>
          <w:szCs w:val="21"/>
        </w:rPr>
        <w:t>しかねない</w:t>
      </w:r>
      <w:r>
        <w:rPr>
          <w:rFonts w:hint="eastAsia"/>
          <w:sz w:val="21"/>
          <w:szCs w:val="21"/>
        </w:rPr>
        <w:t>ことは実証されているものではない。証拠の収集を超えてさらに関連性のあるものまで広範なディスカバリーが認められている米国においても、これが米国企業内部の「自由な意思形成」を阻害するとの議論は特段なされてはいない</w:t>
      </w:r>
      <w:r>
        <w:rPr>
          <w:rFonts w:ascii="ＭＳ 明朝" w:hAnsi="ＭＳ 明朝"/>
          <w:sz w:val="21"/>
          <w:szCs w:val="21"/>
        </w:rPr>
        <w:t>(</w:t>
      </w:r>
      <w:r>
        <w:rPr>
          <w:rFonts w:hint="eastAsia"/>
          <w:sz w:val="21"/>
          <w:szCs w:val="21"/>
        </w:rPr>
        <w:t>ディスカバリーの費用が高額になる場合の批判はあるが、米国弁護士によれば、「いまさら、どのような資料が出るのかわからないまま手続が進行する不意打ちトライアル</w:t>
      </w:r>
      <w:r>
        <w:rPr>
          <w:rFonts w:ascii="ＭＳ 明朝" w:hAnsi="ＭＳ 明朝"/>
          <w:sz w:val="21"/>
          <w:szCs w:val="21"/>
        </w:rPr>
        <w:t>(</w:t>
      </w:r>
      <w:r>
        <w:rPr>
          <w:rFonts w:cs="Times New Roman"/>
          <w:sz w:val="21"/>
          <w:szCs w:val="21"/>
        </w:rPr>
        <w:t>surprised trial</w:t>
      </w:r>
      <w:r>
        <w:rPr>
          <w:rFonts w:ascii="ＭＳ 明朝" w:hAnsi="ＭＳ 明朝"/>
          <w:sz w:val="21"/>
          <w:szCs w:val="21"/>
        </w:rPr>
        <w:t>)</w:t>
      </w:r>
      <w:r>
        <w:rPr>
          <w:rFonts w:hint="eastAsia"/>
          <w:sz w:val="21"/>
          <w:szCs w:val="21"/>
        </w:rPr>
        <w:t>には戻る気がしない」という。</w:t>
      </w:r>
      <w:r>
        <w:rPr>
          <w:rFonts w:ascii="ＭＳ 明朝" w:hAnsi="ＭＳ 明朝"/>
          <w:sz w:val="21"/>
          <w:szCs w:val="21"/>
        </w:rPr>
        <w:t>)</w:t>
      </w:r>
      <w:r>
        <w:rPr>
          <w:rFonts w:hint="eastAsia"/>
          <w:sz w:val="21"/>
          <w:szCs w:val="21"/>
        </w:rPr>
        <w:t>。仮に、自由な意思形成の萎縮効果があったとして、それと、証拠へのアクセス可能性や真実発見の必要性との比較の上で、それにもまして団体の「自由な意思形成」を重視しなければならないことにつき、格別積極的論拠は示されてはいない。</w:t>
      </w:r>
    </w:p>
    <w:p w14:paraId="7588C6D8" w14:textId="77777777" w:rsidR="009B33F1" w:rsidRDefault="009B33F1">
      <w:pPr>
        <w:adjustRightInd/>
        <w:ind w:left="556"/>
        <w:rPr>
          <w:rFonts w:ascii="ＭＳ 明朝" w:cs="Times New Roman"/>
        </w:rPr>
      </w:pPr>
      <w:r>
        <w:rPr>
          <w:rFonts w:hint="eastAsia"/>
          <w:sz w:val="21"/>
          <w:szCs w:val="21"/>
        </w:rPr>
        <w:t xml:space="preserve">　また、日弁連は、上記提言とともに、企業の営業秘密については秘密保護命令制度の導入を、個人の秘密については重大な秘密を理由とする除外事由の新設を提言しており、保護されるべき企業や個人の秘密について、十分な配慮をしている。日弁連の上記提言も速やかに実施されるべきものである。</w:t>
      </w:r>
    </w:p>
    <w:p w14:paraId="1B41355F" w14:textId="77777777" w:rsidR="009B33F1" w:rsidRDefault="009B33F1">
      <w:pPr>
        <w:adjustRightInd/>
        <w:ind w:left="556" w:hanging="222"/>
        <w:rPr>
          <w:rFonts w:ascii="ＭＳ 明朝" w:cs="Times New Roman"/>
        </w:rPr>
      </w:pPr>
      <w:r>
        <w:rPr>
          <w:rFonts w:hint="eastAsia"/>
          <w:sz w:val="21"/>
          <w:szCs w:val="21"/>
        </w:rPr>
        <w:t xml:space="preserve">　</w:t>
      </w:r>
      <w:r w:rsidR="004D45EE">
        <w:rPr>
          <w:rFonts w:hint="eastAsia"/>
          <w:sz w:val="21"/>
          <w:szCs w:val="21"/>
        </w:rPr>
        <w:t xml:space="preserve">　</w:t>
      </w:r>
      <w:r>
        <w:rPr>
          <w:rFonts w:hint="eastAsia"/>
          <w:sz w:val="21"/>
          <w:szCs w:val="21"/>
        </w:rPr>
        <w:t>なお、各弁護士は、文書提出命令の申立てにあたり、インカメラ審理の利用及びその申入れを積極的に検討すべきである</w:t>
      </w:r>
      <w:r>
        <w:rPr>
          <w:rFonts w:ascii="ＭＳ 明朝" w:hAnsi="ＭＳ 明朝"/>
          <w:sz w:val="21"/>
          <w:szCs w:val="21"/>
        </w:rPr>
        <w:t>(</w:t>
      </w:r>
      <w:r>
        <w:rPr>
          <w:rFonts w:hint="eastAsia"/>
          <w:sz w:val="21"/>
          <w:szCs w:val="21"/>
        </w:rPr>
        <w:t>たとえば、「稟議書」の自己利用文書該当性の判断にあたり、インカメラ審理の有用性を示すものとして、大阪高決平成</w:t>
      </w:r>
      <w:r>
        <w:rPr>
          <w:rFonts w:cs="Times New Roman"/>
          <w:sz w:val="21"/>
          <w:szCs w:val="21"/>
        </w:rPr>
        <w:t>21</w:t>
      </w:r>
      <w:r>
        <w:rPr>
          <w:rFonts w:hint="eastAsia"/>
          <w:sz w:val="21"/>
          <w:szCs w:val="21"/>
        </w:rPr>
        <w:t>年</w:t>
      </w:r>
      <w:r>
        <w:rPr>
          <w:rFonts w:cs="Times New Roman"/>
          <w:sz w:val="21"/>
          <w:szCs w:val="21"/>
        </w:rPr>
        <w:t>5</w:t>
      </w:r>
      <w:r>
        <w:rPr>
          <w:rFonts w:hint="eastAsia"/>
          <w:sz w:val="21"/>
          <w:szCs w:val="21"/>
        </w:rPr>
        <w:t>月</w:t>
      </w:r>
      <w:r>
        <w:rPr>
          <w:rFonts w:cs="Times New Roman"/>
          <w:sz w:val="21"/>
          <w:szCs w:val="21"/>
        </w:rPr>
        <w:t>15</w:t>
      </w:r>
      <w:r>
        <w:rPr>
          <w:rFonts w:hint="eastAsia"/>
          <w:sz w:val="21"/>
          <w:szCs w:val="21"/>
        </w:rPr>
        <w:t>日がある</w:t>
      </w:r>
      <w:r>
        <w:rPr>
          <w:rFonts w:ascii="ＭＳ 明朝" w:hAnsi="ＭＳ 明朝"/>
          <w:sz w:val="21"/>
          <w:szCs w:val="21"/>
        </w:rPr>
        <w:t>)</w:t>
      </w:r>
      <w:r>
        <w:rPr>
          <w:rFonts w:hint="eastAsia"/>
          <w:sz w:val="21"/>
          <w:szCs w:val="21"/>
        </w:rPr>
        <w:t>。</w:t>
      </w:r>
    </w:p>
    <w:p w14:paraId="2FA93C61" w14:textId="77777777" w:rsidR="009B33F1" w:rsidRDefault="009B33F1">
      <w:pPr>
        <w:adjustRightInd/>
        <w:ind w:left="556" w:hanging="222"/>
        <w:rPr>
          <w:rFonts w:ascii="ＭＳ 明朝" w:cs="Times New Roman"/>
        </w:rPr>
      </w:pPr>
      <w:r>
        <w:rPr>
          <w:rFonts w:hint="eastAsia"/>
          <w:sz w:val="21"/>
          <w:szCs w:val="21"/>
        </w:rPr>
        <w:t>イ　刑事関係文書を文書提出義務の除外事由とする民事訴訟法</w:t>
      </w:r>
      <w:r>
        <w:rPr>
          <w:rFonts w:cs="Times New Roman"/>
          <w:sz w:val="21"/>
          <w:szCs w:val="21"/>
        </w:rPr>
        <w:t>220</w:t>
      </w:r>
      <w:r>
        <w:rPr>
          <w:rFonts w:hint="eastAsia"/>
          <w:sz w:val="21"/>
          <w:szCs w:val="21"/>
        </w:rPr>
        <w:t>条</w:t>
      </w:r>
      <w:r>
        <w:rPr>
          <w:rFonts w:cs="Times New Roman"/>
          <w:sz w:val="21"/>
          <w:szCs w:val="21"/>
        </w:rPr>
        <w:t>4</w:t>
      </w:r>
      <w:r>
        <w:rPr>
          <w:rFonts w:hint="eastAsia"/>
          <w:sz w:val="21"/>
          <w:szCs w:val="21"/>
        </w:rPr>
        <w:t>号ﾎ</w:t>
      </w:r>
      <w:r>
        <w:rPr>
          <w:rFonts w:ascii="ＭＳ 明朝" w:hAnsi="ＭＳ 明朝"/>
          <w:sz w:val="21"/>
          <w:szCs w:val="21"/>
        </w:rPr>
        <w:t>(</w:t>
      </w:r>
      <w:r>
        <w:rPr>
          <w:rFonts w:hint="eastAsia"/>
          <w:sz w:val="21"/>
          <w:szCs w:val="21"/>
        </w:rPr>
        <w:t>刑事事件に係る訴訟に関する書類若しくは少年の保護事件の記録又はこれらの事件において押収されている文書</w:t>
      </w:r>
      <w:r>
        <w:rPr>
          <w:rFonts w:ascii="ＭＳ 明朝" w:hAnsi="ＭＳ 明朝"/>
          <w:sz w:val="21"/>
          <w:szCs w:val="21"/>
        </w:rPr>
        <w:t>)</w:t>
      </w:r>
      <w:r>
        <w:rPr>
          <w:rFonts w:hint="eastAsia"/>
          <w:sz w:val="21"/>
          <w:szCs w:val="21"/>
        </w:rPr>
        <w:t>を削除し、この文書提出義務の存否については同号ロの定める公務秘密文書該当性</w:t>
      </w:r>
      <w:r>
        <w:rPr>
          <w:rFonts w:ascii="ＭＳ 明朝" w:hAnsi="ＭＳ 明朝"/>
          <w:sz w:val="21"/>
          <w:szCs w:val="21"/>
        </w:rPr>
        <w:t>(</w:t>
      </w:r>
      <w:r>
        <w:rPr>
          <w:rFonts w:hint="eastAsia"/>
          <w:sz w:val="21"/>
          <w:szCs w:val="21"/>
        </w:rPr>
        <w:t>公務員の職務上の秘密に関する文書でその提出により公共の利益を害し、又は公務の遂行に著しい支障を生ずるおそれがあるもの</w:t>
      </w:r>
      <w:r>
        <w:rPr>
          <w:rFonts w:ascii="ＭＳ 明朝" w:hAnsi="ＭＳ 明朝"/>
          <w:sz w:val="21"/>
          <w:szCs w:val="21"/>
        </w:rPr>
        <w:t>)</w:t>
      </w:r>
      <w:r>
        <w:rPr>
          <w:rFonts w:hint="eastAsia"/>
          <w:sz w:val="21"/>
          <w:szCs w:val="21"/>
        </w:rPr>
        <w:t>によって判断すべきである。</w:t>
      </w:r>
    </w:p>
    <w:p w14:paraId="0A7E17EE" w14:textId="77777777" w:rsidR="009B33F1" w:rsidRDefault="009B33F1">
      <w:pPr>
        <w:adjustRightInd/>
        <w:ind w:left="556"/>
        <w:rPr>
          <w:rFonts w:ascii="ＭＳ 明朝" w:cs="Times New Roman"/>
        </w:rPr>
      </w:pPr>
      <w:r>
        <w:rPr>
          <w:rFonts w:hint="eastAsia"/>
          <w:sz w:val="21"/>
          <w:szCs w:val="21"/>
        </w:rPr>
        <w:t xml:space="preserve">　刑事関係文書には様々な類型があり、類型ごとに法律や通達等において開示制度が用意されているが、たとえば、事件の被害者以外の第三者が加害者の不起訴記録の開示を求める局面は制度の空白となっている。また、刑事関係文書の提出義務の存否を公務秘密文書該当性によって判断する場合、インカメラ審理の利用ができるという利点もある。</w:t>
      </w:r>
    </w:p>
    <w:p w14:paraId="2268ABE7" w14:textId="77777777" w:rsidR="009B33F1" w:rsidRDefault="009B33F1">
      <w:pPr>
        <w:adjustRightInd/>
        <w:ind w:left="556" w:hanging="222"/>
        <w:rPr>
          <w:rFonts w:ascii="ＭＳ 明朝" w:cs="Times New Roman"/>
        </w:rPr>
      </w:pPr>
      <w:r>
        <w:rPr>
          <w:rFonts w:hint="eastAsia"/>
          <w:sz w:val="21"/>
          <w:szCs w:val="21"/>
        </w:rPr>
        <w:t xml:space="preserve">　さらに、事件の類型ごとに、用意される開示の制度や、その運用上の問題点を整理し、検討すべきである</w:t>
      </w:r>
    </w:p>
    <w:p w14:paraId="2497775D" w14:textId="77777777" w:rsidR="009B33F1" w:rsidRDefault="009B33F1">
      <w:pPr>
        <w:adjustRightInd/>
        <w:rPr>
          <w:rFonts w:ascii="ＭＳ 明朝" w:cs="Times New Roman"/>
        </w:rPr>
      </w:pPr>
      <w:r>
        <w:rPr>
          <w:rFonts w:ascii="ＭＳ 明朝" w:hAnsi="ＭＳ 明朝"/>
          <w:sz w:val="21"/>
          <w:szCs w:val="21"/>
        </w:rPr>
        <w:t>(</w:t>
      </w:r>
      <w:r>
        <w:rPr>
          <w:rFonts w:cs="Times New Roman"/>
          <w:sz w:val="21"/>
          <w:szCs w:val="21"/>
        </w:rPr>
        <w:t>3</w:t>
      </w:r>
      <w:r>
        <w:rPr>
          <w:rFonts w:ascii="ＭＳ 明朝" w:hAnsi="ＭＳ 明朝"/>
          <w:sz w:val="21"/>
          <w:szCs w:val="21"/>
        </w:rPr>
        <w:t>)</w:t>
      </w:r>
      <w:r>
        <w:rPr>
          <w:rFonts w:hint="eastAsia"/>
          <w:sz w:val="21"/>
          <w:szCs w:val="21"/>
        </w:rPr>
        <w:t xml:space="preserve">　当事者照会に関して</w:t>
      </w:r>
    </w:p>
    <w:p w14:paraId="61CAF856" w14:textId="77777777" w:rsidR="009B33F1" w:rsidRDefault="009B33F1">
      <w:pPr>
        <w:adjustRightInd/>
        <w:rPr>
          <w:rFonts w:ascii="ＭＳ 明朝" w:cs="Times New Roman"/>
        </w:rPr>
      </w:pPr>
      <w:r>
        <w:rPr>
          <w:rFonts w:hint="eastAsia"/>
          <w:sz w:val="21"/>
          <w:szCs w:val="21"/>
        </w:rPr>
        <w:t xml:space="preserve">　民事司法手続の実務において、当事者照会制度があまり利用されていないという現実を踏まえ、当事者には回答義務があること、拒絶する場合はその理由を書面をもって通知する義務があること、裁判所が回答を促すことができるという制度を導入すべきである。ただし、「促し」を超えて回答命令を出すことや、回答命令に従わない場合の制裁については、更なる検討が必要であり、この点に関する日弁連の提言内容については慎重な態度をとるのが相当である</w:t>
      </w:r>
    </w:p>
    <w:p w14:paraId="42A5D502" w14:textId="77777777" w:rsidR="009B33F1" w:rsidRDefault="009B33F1">
      <w:pPr>
        <w:adjustRightInd/>
        <w:rPr>
          <w:rFonts w:ascii="ＭＳ 明朝" w:cs="Times New Roman"/>
        </w:rPr>
      </w:pPr>
      <w:r>
        <w:rPr>
          <w:rFonts w:ascii="ＭＳ 明朝" w:hAnsi="ＭＳ 明朝"/>
          <w:sz w:val="21"/>
          <w:szCs w:val="21"/>
        </w:rPr>
        <w:t>(</w:t>
      </w:r>
      <w:r>
        <w:rPr>
          <w:rFonts w:cs="Times New Roman"/>
          <w:sz w:val="21"/>
          <w:szCs w:val="21"/>
        </w:rPr>
        <w:t>4</w:t>
      </w:r>
      <w:r>
        <w:rPr>
          <w:rFonts w:ascii="ＭＳ 明朝" w:hAnsi="ＭＳ 明朝"/>
          <w:sz w:val="21"/>
          <w:szCs w:val="21"/>
        </w:rPr>
        <w:t>)</w:t>
      </w:r>
      <w:r>
        <w:rPr>
          <w:rFonts w:hint="eastAsia"/>
          <w:sz w:val="21"/>
          <w:szCs w:val="21"/>
        </w:rPr>
        <w:t xml:space="preserve">　弁護士会照会に関して</w:t>
      </w:r>
    </w:p>
    <w:p w14:paraId="6EE9786D" w14:textId="77777777" w:rsidR="009B33F1" w:rsidRDefault="009B33F1">
      <w:pPr>
        <w:adjustRightInd/>
        <w:rPr>
          <w:rFonts w:ascii="ＭＳ 明朝" w:cs="Times New Roman"/>
        </w:rPr>
      </w:pPr>
      <w:r>
        <w:rPr>
          <w:rFonts w:hint="eastAsia"/>
          <w:sz w:val="21"/>
          <w:szCs w:val="21"/>
        </w:rPr>
        <w:t xml:space="preserve">　弁護士会照会の機能強化のため、</w:t>
      </w:r>
      <w:r w:rsidR="00A668BF">
        <w:rPr>
          <w:rFonts w:hint="eastAsia"/>
          <w:sz w:val="21"/>
          <w:szCs w:val="21"/>
        </w:rPr>
        <w:t>依頼書に</w:t>
      </w:r>
      <w:r>
        <w:rPr>
          <w:rFonts w:hint="eastAsia"/>
          <w:sz w:val="21"/>
          <w:szCs w:val="21"/>
        </w:rPr>
        <w:t>照会先の回答義務を明記すること、照会先が回答しな</w:t>
      </w:r>
      <w:r>
        <w:rPr>
          <w:rFonts w:hint="eastAsia"/>
          <w:sz w:val="21"/>
          <w:szCs w:val="21"/>
        </w:rPr>
        <w:lastRenderedPageBreak/>
        <w:t>いとき日弁連がこれを審査し照会先へ回答するよう勧告することができるという制度を導入すべきである。ただし、当該審査の手続の導入にあたっては、その妥当性・正当性につき、改めて十分に議論しなければならない。仮に日弁連が審査を行う場合、迅速性をいかに確保するか、費用負担をどのようにするかといった実務面の問題についても、十分に検討を要する</w:t>
      </w:r>
      <w:r w:rsidR="005D7A96">
        <w:rPr>
          <w:rFonts w:hint="eastAsia"/>
          <w:sz w:val="21"/>
          <w:szCs w:val="21"/>
        </w:rPr>
        <w:t>。かかる点を考慮すると、東弁と照会先となる公務所又は公私の団体との間で協議を進め、照会への回答に関する協定を締結する等の方法での運用面の改善も積極的に進めていくべきである。</w:t>
      </w:r>
    </w:p>
    <w:p w14:paraId="0DBDF17A" w14:textId="77777777" w:rsidR="009B33F1" w:rsidRDefault="009B33F1">
      <w:pPr>
        <w:adjustRightInd/>
        <w:rPr>
          <w:rFonts w:ascii="ＭＳ 明朝" w:cs="Times New Roman"/>
        </w:rPr>
      </w:pPr>
    </w:p>
    <w:p w14:paraId="4AE57CCF" w14:textId="77777777" w:rsidR="009B33F1" w:rsidRDefault="009B33F1">
      <w:pPr>
        <w:adjustRightInd/>
        <w:rPr>
          <w:rFonts w:ascii="ＭＳ 明朝" w:cs="Times New Roman"/>
        </w:rPr>
      </w:pPr>
      <w:r>
        <w:rPr>
          <w:rFonts w:cs="Times New Roman"/>
          <w:b/>
          <w:bCs/>
          <w:sz w:val="21"/>
          <w:szCs w:val="21"/>
        </w:rPr>
        <w:t>2</w:t>
      </w:r>
      <w:r>
        <w:rPr>
          <w:rFonts w:hint="eastAsia"/>
          <w:b/>
          <w:bCs/>
          <w:sz w:val="21"/>
          <w:szCs w:val="21"/>
        </w:rPr>
        <w:t xml:space="preserve">　通信秘密について</w:t>
      </w:r>
    </w:p>
    <w:p w14:paraId="60F1E079" w14:textId="77777777" w:rsidR="009B33F1" w:rsidRDefault="009B33F1">
      <w:pPr>
        <w:adjustRightInd/>
        <w:rPr>
          <w:rFonts w:ascii="ＭＳ 明朝" w:cs="Times New Roman"/>
        </w:rPr>
      </w:pPr>
      <w:r>
        <w:rPr>
          <w:rFonts w:hint="eastAsia"/>
          <w:sz w:val="21"/>
          <w:szCs w:val="21"/>
        </w:rPr>
        <w:t xml:space="preserve">　通信秘密保護制度</w:t>
      </w:r>
      <w:r>
        <w:rPr>
          <w:rFonts w:ascii="ＭＳ 明朝" w:hAnsi="ＭＳ 明朝"/>
          <w:sz w:val="21"/>
          <w:szCs w:val="21"/>
        </w:rPr>
        <w:t>(</w:t>
      </w:r>
      <w:r>
        <w:rPr>
          <w:rFonts w:hint="eastAsia"/>
          <w:sz w:val="21"/>
          <w:szCs w:val="21"/>
        </w:rPr>
        <w:t>通信情報保護制度</w:t>
      </w:r>
      <w:r>
        <w:rPr>
          <w:rFonts w:ascii="ＭＳ 明朝" w:hAnsi="ＭＳ 明朝"/>
          <w:sz w:val="21"/>
          <w:szCs w:val="21"/>
        </w:rPr>
        <w:t>)</w:t>
      </w:r>
      <w:r>
        <w:rPr>
          <w:rFonts w:hint="eastAsia"/>
          <w:sz w:val="21"/>
          <w:szCs w:val="21"/>
        </w:rPr>
        <w:t>とは、依頼者</w:t>
      </w:r>
      <w:r>
        <w:rPr>
          <w:rFonts w:ascii="ＭＳ 明朝" w:hAnsi="ＭＳ 明朝"/>
          <w:sz w:val="21"/>
          <w:szCs w:val="21"/>
        </w:rPr>
        <w:t>(</w:t>
      </w:r>
      <w:r>
        <w:rPr>
          <w:rFonts w:hint="eastAsia"/>
          <w:sz w:val="21"/>
          <w:szCs w:val="21"/>
        </w:rPr>
        <w:t>相談者</w:t>
      </w:r>
      <w:r>
        <w:rPr>
          <w:rFonts w:ascii="ＭＳ 明朝" w:hAnsi="ＭＳ 明朝"/>
          <w:sz w:val="21"/>
          <w:szCs w:val="21"/>
        </w:rPr>
        <w:t>)</w:t>
      </w:r>
      <w:r>
        <w:rPr>
          <w:rFonts w:hint="eastAsia"/>
          <w:sz w:val="21"/>
          <w:szCs w:val="21"/>
        </w:rPr>
        <w:t>と弁護士との間の相談・協議内容について、民事手続・刑事手続・行政手続での開示拒絶権を明確に定め、弁護士との相談・協議内容の秘密が守られることを確保し、もって弁護士に依頼・相談する依頼者の権利を法的に保護する制度のことである。</w:t>
      </w:r>
    </w:p>
    <w:p w14:paraId="3A3D628A" w14:textId="77777777" w:rsidR="009B33F1" w:rsidRDefault="009B33F1">
      <w:pPr>
        <w:adjustRightInd/>
        <w:rPr>
          <w:rFonts w:ascii="ＭＳ 明朝" w:cs="Times New Roman"/>
        </w:rPr>
      </w:pPr>
      <w:r>
        <w:rPr>
          <w:rFonts w:hint="eastAsia"/>
          <w:sz w:val="21"/>
          <w:szCs w:val="21"/>
        </w:rPr>
        <w:t xml:space="preserve">　海外においては、依頼者における「弁護士秘匿特権</w:t>
      </w:r>
      <w:r>
        <w:rPr>
          <w:rFonts w:ascii="ＭＳ 明朝" w:hAnsi="ＭＳ 明朝"/>
          <w:sz w:val="21"/>
          <w:szCs w:val="21"/>
        </w:rPr>
        <w:t>(</w:t>
      </w:r>
      <w:r w:rsidR="00A325BF">
        <w:rPr>
          <w:rFonts w:cs="Times New Roman"/>
          <w:sz w:val="21"/>
          <w:szCs w:val="21"/>
        </w:rPr>
        <w:t>Legal</w:t>
      </w:r>
      <w:r>
        <w:rPr>
          <w:rFonts w:cs="Times New Roman"/>
          <w:sz w:val="21"/>
          <w:szCs w:val="21"/>
        </w:rPr>
        <w:t xml:space="preserve"> </w:t>
      </w:r>
      <w:r w:rsidR="00A325BF">
        <w:rPr>
          <w:rFonts w:cs="Times New Roman"/>
          <w:sz w:val="21"/>
          <w:szCs w:val="21"/>
        </w:rPr>
        <w:t>Professional</w:t>
      </w:r>
      <w:r>
        <w:rPr>
          <w:rFonts w:cs="Times New Roman"/>
          <w:sz w:val="21"/>
          <w:szCs w:val="21"/>
        </w:rPr>
        <w:t xml:space="preserve"> Privilege</w:t>
      </w:r>
      <w:r>
        <w:rPr>
          <w:rFonts w:ascii="ＭＳ 明朝" w:hAnsi="ＭＳ 明朝"/>
          <w:sz w:val="21"/>
          <w:szCs w:val="21"/>
        </w:rPr>
        <w:t>)</w:t>
      </w:r>
      <w:r>
        <w:rPr>
          <w:rFonts w:hint="eastAsia"/>
          <w:sz w:val="21"/>
          <w:szCs w:val="21"/>
        </w:rPr>
        <w:t>」が、英米法では依頼者の権利として、大陸法では弁護士の職業上の秘密の反射的効果として保護されてきた。一方、我が国においては、現行法上、弁護士には依頼者との間の相談・協議内容の秘密を守る義務があり</w:t>
      </w:r>
      <w:r>
        <w:rPr>
          <w:rFonts w:ascii="ＭＳ 明朝" w:hAnsi="ＭＳ 明朝"/>
          <w:sz w:val="21"/>
          <w:szCs w:val="21"/>
        </w:rPr>
        <w:t>(</w:t>
      </w:r>
      <w:r>
        <w:rPr>
          <w:rFonts w:hint="eastAsia"/>
          <w:sz w:val="21"/>
          <w:szCs w:val="21"/>
        </w:rPr>
        <w:t>弁護士法</w:t>
      </w:r>
      <w:r>
        <w:rPr>
          <w:rFonts w:cs="Times New Roman"/>
          <w:sz w:val="21"/>
          <w:szCs w:val="21"/>
        </w:rPr>
        <w:t>23</w:t>
      </w:r>
      <w:r>
        <w:rPr>
          <w:rFonts w:hint="eastAsia"/>
          <w:sz w:val="21"/>
          <w:szCs w:val="21"/>
        </w:rPr>
        <w:t>条、刑法</w:t>
      </w:r>
      <w:r>
        <w:rPr>
          <w:rFonts w:cs="Times New Roman"/>
          <w:sz w:val="21"/>
          <w:szCs w:val="21"/>
        </w:rPr>
        <w:t>134</w:t>
      </w:r>
      <w:r>
        <w:rPr>
          <w:rFonts w:hint="eastAsia"/>
          <w:sz w:val="21"/>
          <w:szCs w:val="21"/>
        </w:rPr>
        <w:t>条、弁護士職務基本規程</w:t>
      </w:r>
      <w:r>
        <w:rPr>
          <w:rFonts w:cs="Times New Roman"/>
          <w:sz w:val="21"/>
          <w:szCs w:val="21"/>
        </w:rPr>
        <w:t>23</w:t>
      </w:r>
      <w:r>
        <w:rPr>
          <w:rFonts w:hint="eastAsia"/>
          <w:sz w:val="21"/>
          <w:szCs w:val="21"/>
        </w:rPr>
        <w:t>条等</w:t>
      </w:r>
      <w:r>
        <w:rPr>
          <w:rFonts w:ascii="ＭＳ 明朝" w:hAnsi="ＭＳ 明朝"/>
          <w:sz w:val="21"/>
          <w:szCs w:val="21"/>
        </w:rPr>
        <w:t>)</w:t>
      </w:r>
      <w:r>
        <w:rPr>
          <w:rFonts w:hint="eastAsia"/>
          <w:sz w:val="21"/>
          <w:szCs w:val="21"/>
        </w:rPr>
        <w:t>、民事・刑事訴訟法上は弁護士に証言拒絶等の権利があり</w:t>
      </w:r>
      <w:r>
        <w:rPr>
          <w:rFonts w:ascii="ＭＳ 明朝" w:hAnsi="ＭＳ 明朝"/>
          <w:sz w:val="21"/>
          <w:szCs w:val="21"/>
        </w:rPr>
        <w:t>(</w:t>
      </w:r>
      <w:r>
        <w:rPr>
          <w:rFonts w:hint="eastAsia"/>
          <w:sz w:val="21"/>
          <w:szCs w:val="21"/>
        </w:rPr>
        <w:t>民事訴訟法</w:t>
      </w:r>
      <w:r>
        <w:rPr>
          <w:rFonts w:cs="Times New Roman"/>
          <w:sz w:val="21"/>
          <w:szCs w:val="21"/>
        </w:rPr>
        <w:t>197</w:t>
      </w:r>
      <w:r>
        <w:rPr>
          <w:rFonts w:hint="eastAsia"/>
          <w:sz w:val="21"/>
          <w:szCs w:val="21"/>
        </w:rPr>
        <w:t>条</w:t>
      </w:r>
      <w:r>
        <w:rPr>
          <w:rFonts w:cs="Times New Roman"/>
          <w:sz w:val="21"/>
          <w:szCs w:val="21"/>
        </w:rPr>
        <w:t>1</w:t>
      </w:r>
      <w:r>
        <w:rPr>
          <w:rFonts w:hint="eastAsia"/>
          <w:sz w:val="21"/>
          <w:szCs w:val="21"/>
        </w:rPr>
        <w:t>項</w:t>
      </w:r>
      <w:r>
        <w:rPr>
          <w:rFonts w:cs="Times New Roman"/>
          <w:sz w:val="21"/>
          <w:szCs w:val="21"/>
        </w:rPr>
        <w:t>2</w:t>
      </w:r>
      <w:r>
        <w:rPr>
          <w:rFonts w:hint="eastAsia"/>
          <w:sz w:val="21"/>
          <w:szCs w:val="21"/>
        </w:rPr>
        <w:t>号、</w:t>
      </w:r>
      <w:r>
        <w:rPr>
          <w:rFonts w:cs="Times New Roman"/>
          <w:sz w:val="21"/>
          <w:szCs w:val="21"/>
        </w:rPr>
        <w:t>220</w:t>
      </w:r>
      <w:r>
        <w:rPr>
          <w:rFonts w:hint="eastAsia"/>
          <w:sz w:val="21"/>
          <w:szCs w:val="21"/>
        </w:rPr>
        <w:t>条</w:t>
      </w:r>
      <w:r>
        <w:rPr>
          <w:rFonts w:cs="Times New Roman"/>
          <w:sz w:val="21"/>
          <w:szCs w:val="21"/>
        </w:rPr>
        <w:t>4</w:t>
      </w:r>
      <w:r>
        <w:rPr>
          <w:rFonts w:hint="eastAsia"/>
          <w:sz w:val="21"/>
          <w:szCs w:val="21"/>
        </w:rPr>
        <w:t>号ハ、刑事訴訟法</w:t>
      </w:r>
      <w:r>
        <w:rPr>
          <w:rFonts w:cs="Times New Roman"/>
          <w:sz w:val="21"/>
          <w:szCs w:val="21"/>
        </w:rPr>
        <w:t>105</w:t>
      </w:r>
      <w:r>
        <w:rPr>
          <w:rFonts w:hint="eastAsia"/>
          <w:sz w:val="21"/>
          <w:szCs w:val="21"/>
        </w:rPr>
        <w:t>条、</w:t>
      </w:r>
      <w:r>
        <w:rPr>
          <w:rFonts w:cs="Times New Roman"/>
          <w:sz w:val="21"/>
          <w:szCs w:val="21"/>
        </w:rPr>
        <w:t>149</w:t>
      </w:r>
      <w:r>
        <w:rPr>
          <w:rFonts w:hint="eastAsia"/>
          <w:sz w:val="21"/>
          <w:szCs w:val="21"/>
        </w:rPr>
        <w:t>条</w:t>
      </w:r>
      <w:r>
        <w:rPr>
          <w:rFonts w:ascii="ＭＳ 明朝" w:hAnsi="ＭＳ 明朝"/>
          <w:sz w:val="21"/>
          <w:szCs w:val="21"/>
        </w:rPr>
        <w:t>)</w:t>
      </w:r>
      <w:r>
        <w:rPr>
          <w:rFonts w:hint="eastAsia"/>
          <w:sz w:val="21"/>
          <w:szCs w:val="21"/>
        </w:rPr>
        <w:t>、刑事弁護においては刑事訴訟法</w:t>
      </w:r>
      <w:r>
        <w:rPr>
          <w:rFonts w:cs="Times New Roman"/>
          <w:sz w:val="21"/>
          <w:szCs w:val="21"/>
        </w:rPr>
        <w:t>39</w:t>
      </w:r>
      <w:r>
        <w:rPr>
          <w:rFonts w:hint="eastAsia"/>
          <w:sz w:val="21"/>
          <w:szCs w:val="21"/>
        </w:rPr>
        <w:t>条</w:t>
      </w:r>
      <w:r>
        <w:rPr>
          <w:rFonts w:cs="Times New Roman"/>
          <w:sz w:val="21"/>
          <w:szCs w:val="21"/>
        </w:rPr>
        <w:t>1</w:t>
      </w:r>
      <w:r>
        <w:rPr>
          <w:rFonts w:hint="eastAsia"/>
          <w:sz w:val="21"/>
          <w:szCs w:val="21"/>
        </w:rPr>
        <w:t>項により一定程度相談の秘密を保護する制度があるものの、例えば、行政調査では、依頼者は当局など第三者から開示を求められたときに弁護士との通信について必ずしも開示を拒絶することができず、刑事収容施設でも弁護士との通信の内容について検閲される取扱いがされる場合があることにより、依頼者と弁護士との通信の秘密が保障されているとは言い難いのが現状である。独占禁止法に基づく審査手続において、依頼者と弁護士との間の通信の取扱いが問題となった事案もある。弁護士との相談の秘密が確保されないことにより、充分な防御ができない、法令順守のため弁護士に相談することを躊躇するなどの弊害が指摘されている。</w:t>
      </w:r>
    </w:p>
    <w:p w14:paraId="5FFA2724" w14:textId="77777777" w:rsidR="008B3D0D" w:rsidRDefault="009B33F1">
      <w:pPr>
        <w:adjustRightInd/>
        <w:rPr>
          <w:sz w:val="21"/>
          <w:szCs w:val="21"/>
        </w:rPr>
      </w:pPr>
      <w:r>
        <w:rPr>
          <w:rFonts w:hint="eastAsia"/>
          <w:sz w:val="21"/>
          <w:szCs w:val="21"/>
        </w:rPr>
        <w:t xml:space="preserve">　行政側の対応は、</w:t>
      </w:r>
      <w:r w:rsidR="0047349D">
        <w:rPr>
          <w:rFonts w:hint="eastAsia"/>
          <w:sz w:val="21"/>
          <w:szCs w:val="21"/>
        </w:rPr>
        <w:t>改正</w:t>
      </w:r>
      <w:r>
        <w:rPr>
          <w:rFonts w:hint="eastAsia"/>
          <w:sz w:val="21"/>
          <w:szCs w:val="21"/>
        </w:rPr>
        <w:t>独占禁止法</w:t>
      </w:r>
      <w:r w:rsidR="0047349D">
        <w:rPr>
          <w:rFonts w:hint="eastAsia"/>
          <w:sz w:val="21"/>
          <w:szCs w:val="21"/>
        </w:rPr>
        <w:t>が</w:t>
      </w:r>
      <w:r w:rsidR="0047349D">
        <w:rPr>
          <w:sz w:val="21"/>
          <w:szCs w:val="21"/>
        </w:rPr>
        <w:t>2019</w:t>
      </w:r>
      <w:r w:rsidR="0047349D">
        <w:rPr>
          <w:rFonts w:hint="eastAsia"/>
          <w:sz w:val="21"/>
          <w:szCs w:val="21"/>
        </w:rPr>
        <w:t>（令和元）年</w:t>
      </w:r>
      <w:r w:rsidR="0047349D">
        <w:rPr>
          <w:sz w:val="21"/>
          <w:szCs w:val="21"/>
        </w:rPr>
        <w:t>6</w:t>
      </w:r>
      <w:r w:rsidR="0047349D">
        <w:rPr>
          <w:rFonts w:hint="eastAsia"/>
          <w:sz w:val="21"/>
          <w:szCs w:val="21"/>
        </w:rPr>
        <w:t>月</w:t>
      </w:r>
      <w:r w:rsidR="0047349D">
        <w:rPr>
          <w:sz w:val="21"/>
          <w:szCs w:val="21"/>
        </w:rPr>
        <w:t>19</w:t>
      </w:r>
      <w:r w:rsidR="0047349D">
        <w:rPr>
          <w:rFonts w:hint="eastAsia"/>
          <w:sz w:val="21"/>
          <w:szCs w:val="21"/>
        </w:rPr>
        <w:t>日に成立した際、同法の施行に合わせて独占禁止法</w:t>
      </w:r>
      <w:r w:rsidR="0047349D">
        <w:rPr>
          <w:sz w:val="21"/>
          <w:szCs w:val="21"/>
        </w:rPr>
        <w:t>76</w:t>
      </w:r>
      <w:r w:rsidR="0047349D">
        <w:rPr>
          <w:rFonts w:hint="eastAsia"/>
          <w:sz w:val="21"/>
          <w:szCs w:val="21"/>
        </w:rPr>
        <w:t>条に基づく規則や指針等を整備することとした</w:t>
      </w:r>
      <w:r w:rsidR="008B3D0D">
        <w:rPr>
          <w:rFonts w:hint="eastAsia"/>
          <w:sz w:val="21"/>
          <w:szCs w:val="21"/>
        </w:rPr>
        <w:t>にとどまり、通信の秘密保護に関しては法律の改正までは至っていない。依頼</w:t>
      </w:r>
      <w:r w:rsidR="0047349D">
        <w:rPr>
          <w:rFonts w:hint="eastAsia"/>
          <w:sz w:val="21"/>
          <w:szCs w:val="21"/>
        </w:rPr>
        <w:t>者が調査当局に対する開示を拒むこと等ができるいわゆる「秘匿特権」ついて</w:t>
      </w:r>
      <w:r w:rsidR="008B3D0D">
        <w:rPr>
          <w:rFonts w:hint="eastAsia"/>
          <w:sz w:val="21"/>
          <w:szCs w:val="21"/>
        </w:rPr>
        <w:t>も</w:t>
      </w:r>
      <w:r w:rsidR="0047349D">
        <w:rPr>
          <w:rFonts w:hint="eastAsia"/>
          <w:sz w:val="21"/>
          <w:szCs w:val="21"/>
        </w:rPr>
        <w:t>新たな課徴金減免制度の利用に係るものに限定</w:t>
      </w:r>
      <w:r w:rsidR="008B3D0D">
        <w:rPr>
          <w:rFonts w:hint="eastAsia"/>
          <w:sz w:val="21"/>
          <w:szCs w:val="21"/>
        </w:rPr>
        <w:t>され</w:t>
      </w:r>
      <w:r w:rsidR="0047349D">
        <w:rPr>
          <w:rFonts w:hint="eastAsia"/>
          <w:sz w:val="21"/>
          <w:szCs w:val="21"/>
        </w:rPr>
        <w:t>ている。</w:t>
      </w:r>
      <w:r w:rsidR="008B3D0D">
        <w:rPr>
          <w:rFonts w:hint="eastAsia"/>
          <w:sz w:val="21"/>
          <w:szCs w:val="21"/>
        </w:rPr>
        <w:t>事業者の権利や適正手続の確保よりも新たな課徴金減免制度を機能化させることを主眼としていると言わざるを得</w:t>
      </w:r>
      <w:r w:rsidR="00A668BF">
        <w:rPr>
          <w:rFonts w:hint="eastAsia"/>
          <w:sz w:val="21"/>
          <w:szCs w:val="21"/>
        </w:rPr>
        <w:t>ず不十分である</w:t>
      </w:r>
      <w:r w:rsidR="008B3D0D">
        <w:rPr>
          <w:rFonts w:hint="eastAsia"/>
          <w:sz w:val="21"/>
          <w:szCs w:val="21"/>
        </w:rPr>
        <w:t>。</w:t>
      </w:r>
    </w:p>
    <w:p w14:paraId="1ABC7635" w14:textId="77777777" w:rsidR="009B33F1" w:rsidRDefault="009B33F1">
      <w:pPr>
        <w:adjustRightInd/>
        <w:rPr>
          <w:rFonts w:ascii="ＭＳ 明朝" w:cs="Times New Roman"/>
        </w:rPr>
      </w:pPr>
      <w:r>
        <w:rPr>
          <w:rFonts w:hint="eastAsia"/>
          <w:sz w:val="21"/>
          <w:szCs w:val="21"/>
        </w:rPr>
        <w:t xml:space="preserve">　</w:t>
      </w:r>
      <w:r w:rsidR="005D7A96">
        <w:rPr>
          <w:rFonts w:hint="eastAsia"/>
          <w:sz w:val="21"/>
          <w:szCs w:val="21"/>
        </w:rPr>
        <w:t>弁護士</w:t>
      </w:r>
      <w:r>
        <w:rPr>
          <w:rFonts w:hint="eastAsia"/>
          <w:sz w:val="21"/>
          <w:szCs w:val="21"/>
        </w:rPr>
        <w:t>会の対応としては、日弁連が</w:t>
      </w:r>
      <w:r>
        <w:rPr>
          <w:rFonts w:cs="Times New Roman"/>
          <w:sz w:val="21"/>
          <w:szCs w:val="21"/>
        </w:rPr>
        <w:t>2016</w:t>
      </w:r>
      <w:r>
        <w:rPr>
          <w:rFonts w:ascii="ＭＳ 明朝" w:hAnsi="ＭＳ 明朝"/>
          <w:sz w:val="21"/>
          <w:szCs w:val="21"/>
        </w:rPr>
        <w:t>(</w:t>
      </w:r>
      <w:r>
        <w:rPr>
          <w:rFonts w:hint="eastAsia"/>
          <w:sz w:val="21"/>
          <w:szCs w:val="21"/>
        </w:rPr>
        <w:t>平成</w:t>
      </w:r>
      <w:r>
        <w:rPr>
          <w:rFonts w:cs="Times New Roman"/>
          <w:sz w:val="21"/>
          <w:szCs w:val="21"/>
        </w:rPr>
        <w:t>28</w:t>
      </w:r>
      <w:r>
        <w:rPr>
          <w:rFonts w:ascii="ＭＳ 明朝" w:hAnsi="ＭＳ 明朝"/>
          <w:sz w:val="21"/>
          <w:szCs w:val="21"/>
        </w:rPr>
        <w:t>)</w:t>
      </w:r>
      <w:r>
        <w:rPr>
          <w:rFonts w:hint="eastAsia"/>
          <w:sz w:val="21"/>
          <w:szCs w:val="21"/>
        </w:rPr>
        <w:t>年</w:t>
      </w:r>
      <w:r>
        <w:rPr>
          <w:rFonts w:cs="Times New Roman"/>
          <w:sz w:val="21"/>
          <w:szCs w:val="21"/>
        </w:rPr>
        <w:t>2</w:t>
      </w:r>
      <w:r>
        <w:rPr>
          <w:rFonts w:hint="eastAsia"/>
          <w:sz w:val="21"/>
          <w:szCs w:val="21"/>
        </w:rPr>
        <w:t>月に「弁護士と依頼者の通信秘密保護制度に関する最終報告」をとりまとめ、「弁護士に依頼・相談する依頼者の権利」を制度的に保障するように立法化を図るべきであると提言した。制度設計にあたっては、憲法・法律上の既存の用例との区別という観点から「通信」の語を用いるか、依頼者の権利としての位置づけをどう明確にするかなどの名称の問題も含め、証拠開示の要請、海外の法制度との調和に配慮しつつ、秘密保護の範囲や要件を明確化し、その判定の仕組みを構築するなど、検討すべき問題はあるが、立法化の必要性は確かであり、今後、当会においても積極的に取り組んでいくものである。</w:t>
      </w:r>
    </w:p>
    <w:p w14:paraId="4B0F98D5" w14:textId="77777777" w:rsidR="009B33F1" w:rsidRDefault="009B33F1">
      <w:pPr>
        <w:adjustRightInd/>
        <w:rPr>
          <w:rFonts w:ascii="ＭＳ 明朝" w:cs="Times New Roman"/>
        </w:rPr>
      </w:pPr>
    </w:p>
    <w:p w14:paraId="30670B75" w14:textId="77777777" w:rsidR="009B33F1" w:rsidRDefault="009B33F1">
      <w:pPr>
        <w:adjustRightInd/>
        <w:rPr>
          <w:rFonts w:ascii="ＭＳ 明朝" w:cs="Times New Roman"/>
        </w:rPr>
      </w:pPr>
      <w:r>
        <w:rPr>
          <w:rFonts w:cs="Times New Roman"/>
          <w:b/>
          <w:bCs/>
          <w:sz w:val="21"/>
          <w:szCs w:val="21"/>
        </w:rPr>
        <w:lastRenderedPageBreak/>
        <w:t>3</w:t>
      </w:r>
      <w:r>
        <w:rPr>
          <w:rFonts w:hint="eastAsia"/>
          <w:b/>
          <w:bCs/>
          <w:sz w:val="21"/>
          <w:szCs w:val="21"/>
        </w:rPr>
        <w:t xml:space="preserve">　国際仲裁等について</w:t>
      </w:r>
    </w:p>
    <w:p w14:paraId="7C2F4671" w14:textId="77777777" w:rsidR="009B33F1" w:rsidRDefault="009B33F1">
      <w:pPr>
        <w:adjustRightInd/>
        <w:rPr>
          <w:rFonts w:ascii="ＭＳ 明朝" w:cs="Times New Roman"/>
        </w:rPr>
      </w:pPr>
      <w:r>
        <w:rPr>
          <w:rFonts w:hint="eastAsia"/>
          <w:sz w:val="21"/>
          <w:szCs w:val="21"/>
        </w:rPr>
        <w:t xml:space="preserve">　国際仲裁は、一般的に、国際取引の分野において、紛争解決方法として裁判よりも利点が大きいと理解されている。例えば、日本の裁判所で勝訴判決を得たとしても、外国において当該判決に基づく強制執行ができるとは限らない。逆に、外国の裁判所で勝訴判決を得た場合であっても、日本で強制力を有しない可能性がある</w:t>
      </w:r>
      <w:r>
        <w:rPr>
          <w:rFonts w:ascii="ＭＳ 明朝" w:hAnsi="ＭＳ 明朝"/>
          <w:sz w:val="21"/>
          <w:szCs w:val="21"/>
        </w:rPr>
        <w:t>(</w:t>
      </w:r>
      <w:r>
        <w:rPr>
          <w:rFonts w:hint="eastAsia"/>
          <w:sz w:val="21"/>
          <w:szCs w:val="21"/>
        </w:rPr>
        <w:t>例えば、日本で勝訴判決を得たとしても中国で当該判決に基づく強制執行はできないし、中国で勝訴判決を得たとしても日本で当該判決に基づく強制執行はできないと考えられている。</w:t>
      </w:r>
      <w:r>
        <w:rPr>
          <w:rFonts w:ascii="ＭＳ 明朝" w:hAnsi="ＭＳ 明朝"/>
          <w:sz w:val="21"/>
          <w:szCs w:val="21"/>
        </w:rPr>
        <w:t>)</w:t>
      </w:r>
      <w:r>
        <w:rPr>
          <w:rFonts w:hint="eastAsia"/>
          <w:sz w:val="21"/>
          <w:szCs w:val="21"/>
        </w:rPr>
        <w:t>。</w:t>
      </w:r>
    </w:p>
    <w:p w14:paraId="3CAE4D12" w14:textId="77777777" w:rsidR="009B33F1" w:rsidRDefault="009B33F1">
      <w:pPr>
        <w:adjustRightInd/>
        <w:rPr>
          <w:rFonts w:ascii="ＭＳ 明朝" w:cs="Times New Roman"/>
        </w:rPr>
      </w:pPr>
      <w:r>
        <w:rPr>
          <w:rFonts w:hint="eastAsia"/>
          <w:sz w:val="21"/>
          <w:szCs w:val="21"/>
        </w:rPr>
        <w:t xml:space="preserve">　</w:t>
      </w:r>
      <w:r w:rsidR="00464ED5">
        <w:rPr>
          <w:rFonts w:hint="eastAsia"/>
          <w:sz w:val="21"/>
          <w:szCs w:val="21"/>
        </w:rPr>
        <w:t>これに対し</w:t>
      </w:r>
      <w:r>
        <w:rPr>
          <w:rFonts w:hint="eastAsia"/>
          <w:sz w:val="21"/>
          <w:szCs w:val="21"/>
        </w:rPr>
        <w:t>、国際仲裁であれば、「外国仲裁判断の承認および執行に関する条約」、いわゆるニューヨーク条約に基づき、約</w:t>
      </w:r>
      <w:r>
        <w:rPr>
          <w:rFonts w:cs="Times New Roman"/>
          <w:sz w:val="21"/>
          <w:szCs w:val="21"/>
        </w:rPr>
        <w:t>150</w:t>
      </w:r>
      <w:r>
        <w:rPr>
          <w:rFonts w:hint="eastAsia"/>
          <w:sz w:val="21"/>
          <w:szCs w:val="21"/>
        </w:rPr>
        <w:t>か国において強制力が認められる</w:t>
      </w:r>
      <w:r>
        <w:rPr>
          <w:rFonts w:ascii="ＭＳ 明朝" w:hAnsi="ＭＳ 明朝"/>
          <w:sz w:val="21"/>
          <w:szCs w:val="21"/>
        </w:rPr>
        <w:t>(</w:t>
      </w:r>
      <w:r>
        <w:rPr>
          <w:rFonts w:hint="eastAsia"/>
          <w:sz w:val="21"/>
          <w:szCs w:val="21"/>
        </w:rPr>
        <w:t>なお、中国も当該条約の加盟国である。</w:t>
      </w:r>
      <w:r>
        <w:rPr>
          <w:rFonts w:ascii="ＭＳ 明朝" w:hAnsi="ＭＳ 明朝"/>
          <w:sz w:val="21"/>
          <w:szCs w:val="21"/>
        </w:rPr>
        <w:t>)</w:t>
      </w:r>
      <w:r>
        <w:rPr>
          <w:rFonts w:hint="eastAsia"/>
          <w:sz w:val="21"/>
          <w:szCs w:val="21"/>
        </w:rPr>
        <w:t>。また、途上国では、司法システムそのものが未成熟であったり、信頼性が低い場合があり、このような場合には中立性及び公平性の観点からも国際仲裁の方が望ましい場合もある。さらに、国際仲裁には、専門性、迅速性、手続の柔軟性、非公開性等の利点があると考えられている。</w:t>
      </w:r>
    </w:p>
    <w:p w14:paraId="05CF744C" w14:textId="77777777" w:rsidR="009B33F1" w:rsidRDefault="009B33F1">
      <w:pPr>
        <w:adjustRightInd/>
        <w:rPr>
          <w:rFonts w:ascii="ＭＳ 明朝" w:cs="Times New Roman"/>
        </w:rPr>
      </w:pPr>
      <w:r>
        <w:rPr>
          <w:rFonts w:hint="eastAsia"/>
          <w:sz w:val="21"/>
          <w:szCs w:val="21"/>
        </w:rPr>
        <w:t xml:space="preserve">　しかし、日本においては、国際仲裁が活発に利用されているとは言い難い。一般社団法人日本商事仲裁協会における仲裁の申立件数は、</w:t>
      </w:r>
      <w:r>
        <w:rPr>
          <w:rFonts w:cs="Times New Roman"/>
          <w:sz w:val="21"/>
          <w:szCs w:val="21"/>
        </w:rPr>
        <w:t>201</w:t>
      </w:r>
      <w:r w:rsidR="004B10A1">
        <w:rPr>
          <w:rFonts w:cs="Times New Roman"/>
          <w:sz w:val="21"/>
          <w:szCs w:val="21"/>
        </w:rPr>
        <w:t>7</w:t>
      </w:r>
      <w:r>
        <w:rPr>
          <w:rFonts w:ascii="ＭＳ 明朝" w:hAnsi="ＭＳ 明朝"/>
          <w:sz w:val="21"/>
          <w:szCs w:val="21"/>
        </w:rPr>
        <w:t>(</w:t>
      </w:r>
      <w:r>
        <w:rPr>
          <w:rFonts w:hint="eastAsia"/>
          <w:sz w:val="21"/>
          <w:szCs w:val="21"/>
        </w:rPr>
        <w:t>平成</w:t>
      </w:r>
      <w:r>
        <w:rPr>
          <w:rFonts w:cs="Times New Roman"/>
          <w:sz w:val="21"/>
          <w:szCs w:val="21"/>
        </w:rPr>
        <w:t>2</w:t>
      </w:r>
      <w:r w:rsidR="004B10A1">
        <w:rPr>
          <w:rFonts w:cs="Times New Roman"/>
          <w:sz w:val="21"/>
          <w:szCs w:val="21"/>
        </w:rPr>
        <w:t>9</w:t>
      </w:r>
      <w:r>
        <w:rPr>
          <w:rFonts w:ascii="ＭＳ 明朝" w:hAnsi="ＭＳ 明朝"/>
          <w:sz w:val="21"/>
          <w:szCs w:val="21"/>
        </w:rPr>
        <w:t>)</w:t>
      </w:r>
      <w:r>
        <w:rPr>
          <w:rFonts w:hint="eastAsia"/>
          <w:sz w:val="21"/>
          <w:szCs w:val="21"/>
        </w:rPr>
        <w:t>年度</w:t>
      </w:r>
      <w:r w:rsidR="004B10A1">
        <w:rPr>
          <w:rFonts w:hint="eastAsia"/>
          <w:sz w:val="21"/>
          <w:szCs w:val="21"/>
        </w:rPr>
        <w:t>が</w:t>
      </w:r>
      <w:r w:rsidR="004B10A1">
        <w:rPr>
          <w:sz w:val="21"/>
          <w:szCs w:val="21"/>
        </w:rPr>
        <w:t>17</w:t>
      </w:r>
      <w:r w:rsidR="004B10A1">
        <w:rPr>
          <w:rFonts w:hint="eastAsia"/>
          <w:sz w:val="21"/>
          <w:szCs w:val="21"/>
        </w:rPr>
        <w:t>件、</w:t>
      </w:r>
      <w:r w:rsidR="00754661">
        <w:rPr>
          <w:sz w:val="21"/>
          <w:szCs w:val="21"/>
        </w:rPr>
        <w:t>2018</w:t>
      </w:r>
      <w:r w:rsidR="004B10A1">
        <w:rPr>
          <w:rFonts w:hint="eastAsia"/>
          <w:sz w:val="21"/>
          <w:szCs w:val="21"/>
        </w:rPr>
        <w:t>（平成</w:t>
      </w:r>
      <w:r w:rsidR="004B10A1">
        <w:rPr>
          <w:sz w:val="21"/>
          <w:szCs w:val="21"/>
        </w:rPr>
        <w:t>30</w:t>
      </w:r>
      <w:r w:rsidR="004B10A1">
        <w:rPr>
          <w:rFonts w:hint="eastAsia"/>
          <w:sz w:val="21"/>
          <w:szCs w:val="21"/>
        </w:rPr>
        <w:t>）</w:t>
      </w:r>
      <w:r w:rsidR="00754661">
        <w:rPr>
          <w:rFonts w:hint="eastAsia"/>
          <w:sz w:val="21"/>
          <w:szCs w:val="21"/>
        </w:rPr>
        <w:t>年度は</w:t>
      </w:r>
      <w:r w:rsidR="00754661">
        <w:rPr>
          <w:sz w:val="21"/>
          <w:szCs w:val="21"/>
        </w:rPr>
        <w:t>9</w:t>
      </w:r>
      <w:r w:rsidR="00754661">
        <w:rPr>
          <w:rFonts w:hint="eastAsia"/>
          <w:sz w:val="21"/>
          <w:szCs w:val="21"/>
        </w:rPr>
        <w:t>件であった</w:t>
      </w:r>
      <w:r>
        <w:rPr>
          <w:rFonts w:hint="eastAsia"/>
          <w:sz w:val="21"/>
          <w:szCs w:val="21"/>
        </w:rPr>
        <w:t>。これに対し、</w:t>
      </w:r>
      <w:r w:rsidR="004B10A1">
        <w:rPr>
          <w:rFonts w:hint="eastAsia"/>
          <w:sz w:val="21"/>
          <w:szCs w:val="21"/>
        </w:rPr>
        <w:t>中国国際経済貿易仲裁委員会では</w:t>
      </w:r>
      <w:r w:rsidR="004B10A1">
        <w:rPr>
          <w:sz w:val="21"/>
          <w:szCs w:val="21"/>
        </w:rPr>
        <w:t>2017</w:t>
      </w:r>
      <w:r w:rsidR="004B10A1">
        <w:rPr>
          <w:rFonts w:hint="eastAsia"/>
          <w:sz w:val="21"/>
          <w:szCs w:val="21"/>
        </w:rPr>
        <w:t>（平成</w:t>
      </w:r>
      <w:r w:rsidR="004B10A1">
        <w:rPr>
          <w:sz w:val="21"/>
          <w:szCs w:val="21"/>
        </w:rPr>
        <w:t>29</w:t>
      </w:r>
      <w:r w:rsidR="004B10A1">
        <w:rPr>
          <w:rFonts w:hint="eastAsia"/>
          <w:sz w:val="21"/>
          <w:szCs w:val="21"/>
        </w:rPr>
        <w:t>）年の新受件数が</w:t>
      </w:r>
      <w:r w:rsidR="004B10A1">
        <w:rPr>
          <w:sz w:val="21"/>
          <w:szCs w:val="21"/>
        </w:rPr>
        <w:t>476</w:t>
      </w:r>
      <w:r w:rsidR="004B10A1">
        <w:rPr>
          <w:rFonts w:hint="eastAsia"/>
          <w:sz w:val="21"/>
          <w:szCs w:val="21"/>
        </w:rPr>
        <w:t>件、</w:t>
      </w:r>
      <w:r>
        <w:rPr>
          <w:rFonts w:hint="eastAsia"/>
          <w:sz w:val="21"/>
          <w:szCs w:val="21"/>
        </w:rPr>
        <w:t>香港国際仲裁センターでは</w:t>
      </w:r>
      <w:r>
        <w:rPr>
          <w:rFonts w:cs="Times New Roman"/>
          <w:sz w:val="21"/>
          <w:szCs w:val="21"/>
        </w:rPr>
        <w:t>21</w:t>
      </w:r>
      <w:r w:rsidR="004B10A1">
        <w:rPr>
          <w:rFonts w:cs="Times New Roman"/>
          <w:sz w:val="21"/>
          <w:szCs w:val="21"/>
        </w:rPr>
        <w:t>7</w:t>
      </w:r>
      <w:r>
        <w:rPr>
          <w:rFonts w:hint="eastAsia"/>
          <w:sz w:val="21"/>
          <w:szCs w:val="21"/>
        </w:rPr>
        <w:t>件、シンガポール国際仲裁センターでは</w:t>
      </w:r>
      <w:r w:rsidR="004B10A1">
        <w:rPr>
          <w:rFonts w:cs="Times New Roman"/>
          <w:sz w:val="21"/>
          <w:szCs w:val="21"/>
        </w:rPr>
        <w:t>374</w:t>
      </w:r>
      <w:r>
        <w:rPr>
          <w:rFonts w:hint="eastAsia"/>
          <w:sz w:val="21"/>
          <w:szCs w:val="21"/>
        </w:rPr>
        <w:t>件の国際仲裁が取り扱われている。日本企業が当事者となる国際紛争の仲裁が他国で行われている例も指摘されており、このような事態は日本経済にとっても負の影響を及ぼしているものと考えられる。</w:t>
      </w:r>
    </w:p>
    <w:p w14:paraId="02AD4967" w14:textId="77777777" w:rsidR="009B33F1" w:rsidRDefault="009B33F1">
      <w:pPr>
        <w:adjustRightInd/>
        <w:rPr>
          <w:rFonts w:ascii="ＭＳ 明朝" w:cs="Times New Roman"/>
        </w:rPr>
      </w:pPr>
      <w:r>
        <w:rPr>
          <w:rFonts w:hint="eastAsia"/>
          <w:sz w:val="21"/>
          <w:szCs w:val="21"/>
        </w:rPr>
        <w:t xml:space="preserve">　日本においても国際仲裁が幅広く利用されるようインフラ整備などの対策を採るべきであるとして、</w:t>
      </w:r>
      <w:r>
        <w:rPr>
          <w:rFonts w:cs="Times New Roman"/>
          <w:sz w:val="21"/>
          <w:szCs w:val="21"/>
        </w:rPr>
        <w:t>2018</w:t>
      </w:r>
      <w:r>
        <w:rPr>
          <w:rFonts w:ascii="ＭＳ 明朝" w:hAnsi="ＭＳ 明朝"/>
          <w:sz w:val="21"/>
          <w:szCs w:val="21"/>
        </w:rPr>
        <w:t>(</w:t>
      </w:r>
      <w:r>
        <w:rPr>
          <w:rFonts w:hint="eastAsia"/>
          <w:sz w:val="21"/>
          <w:szCs w:val="21"/>
        </w:rPr>
        <w:t>平成</w:t>
      </w:r>
      <w:r>
        <w:rPr>
          <w:rFonts w:cs="Times New Roman"/>
          <w:sz w:val="21"/>
          <w:szCs w:val="21"/>
        </w:rPr>
        <w:t>30</w:t>
      </w:r>
      <w:r>
        <w:rPr>
          <w:rFonts w:ascii="ＭＳ 明朝" w:hAnsi="ＭＳ 明朝"/>
          <w:sz w:val="21"/>
          <w:szCs w:val="21"/>
        </w:rPr>
        <w:t>)</w:t>
      </w:r>
      <w:r>
        <w:rPr>
          <w:rFonts w:hint="eastAsia"/>
          <w:sz w:val="21"/>
          <w:szCs w:val="21"/>
        </w:rPr>
        <w:t>年</w:t>
      </w:r>
      <w:r>
        <w:rPr>
          <w:rFonts w:cs="Times New Roman"/>
          <w:sz w:val="21"/>
          <w:szCs w:val="21"/>
        </w:rPr>
        <w:t>2</w:t>
      </w:r>
      <w:r>
        <w:rPr>
          <w:rFonts w:hint="eastAsia"/>
          <w:sz w:val="21"/>
          <w:szCs w:val="21"/>
        </w:rPr>
        <w:t>月に一般社団法人日本国際紛争解決センターが設立され、同年</w:t>
      </w:r>
      <w:r>
        <w:rPr>
          <w:rFonts w:cs="Times New Roman"/>
          <w:sz w:val="21"/>
          <w:szCs w:val="21"/>
        </w:rPr>
        <w:t>5</w:t>
      </w:r>
      <w:r>
        <w:rPr>
          <w:rFonts w:hint="eastAsia"/>
          <w:sz w:val="21"/>
          <w:szCs w:val="21"/>
        </w:rPr>
        <w:t>月には、わが国初の国際仲裁・</w:t>
      </w:r>
      <w:r>
        <w:rPr>
          <w:rFonts w:cs="Times New Roman"/>
          <w:sz w:val="21"/>
          <w:szCs w:val="21"/>
        </w:rPr>
        <w:t>ADR</w:t>
      </w:r>
      <w:r>
        <w:rPr>
          <w:rFonts w:hint="eastAsia"/>
          <w:sz w:val="21"/>
          <w:szCs w:val="21"/>
        </w:rPr>
        <w:t>専用施設である「日本国際紛争解決センター</w:t>
      </w:r>
      <w:r>
        <w:rPr>
          <w:rFonts w:ascii="ＭＳ 明朝" w:hAnsi="ＭＳ 明朝"/>
          <w:sz w:val="21"/>
          <w:szCs w:val="21"/>
        </w:rPr>
        <w:t>(</w:t>
      </w:r>
      <w:r>
        <w:rPr>
          <w:rFonts w:hint="eastAsia"/>
          <w:sz w:val="21"/>
          <w:szCs w:val="21"/>
        </w:rPr>
        <w:t>大阪</w:t>
      </w:r>
      <w:r>
        <w:rPr>
          <w:rFonts w:ascii="ＭＳ 明朝" w:hAnsi="ＭＳ 明朝"/>
          <w:sz w:val="21"/>
          <w:szCs w:val="21"/>
        </w:rPr>
        <w:t>)(</w:t>
      </w:r>
      <w:r>
        <w:rPr>
          <w:rFonts w:cs="Times New Roman"/>
          <w:sz w:val="21"/>
          <w:szCs w:val="21"/>
        </w:rPr>
        <w:t>JIDRC</w:t>
      </w:r>
      <w:r w:rsidR="00754661">
        <w:rPr>
          <w:rFonts w:cs="Times New Roman"/>
          <w:sz w:val="21"/>
          <w:szCs w:val="21"/>
        </w:rPr>
        <w:t>-</w:t>
      </w:r>
      <w:r>
        <w:rPr>
          <w:rFonts w:cs="Times New Roman"/>
          <w:sz w:val="21"/>
          <w:szCs w:val="21"/>
        </w:rPr>
        <w:t>Osaka</w:t>
      </w:r>
      <w:r>
        <w:rPr>
          <w:rFonts w:ascii="ＭＳ 明朝" w:hAnsi="ＭＳ 明朝"/>
          <w:sz w:val="21"/>
          <w:szCs w:val="21"/>
        </w:rPr>
        <w:t>)</w:t>
      </w:r>
      <w:r>
        <w:rPr>
          <w:rFonts w:hint="eastAsia"/>
          <w:sz w:val="21"/>
          <w:szCs w:val="21"/>
        </w:rPr>
        <w:t>」が開業し</w:t>
      </w:r>
      <w:r w:rsidR="00754661">
        <w:rPr>
          <w:rFonts w:hint="eastAsia"/>
          <w:sz w:val="21"/>
          <w:szCs w:val="21"/>
        </w:rPr>
        <w:t>た。</w:t>
      </w:r>
      <w:r w:rsidR="00754661">
        <w:rPr>
          <w:sz w:val="21"/>
          <w:szCs w:val="21"/>
        </w:rPr>
        <w:t>2020</w:t>
      </w:r>
      <w:r w:rsidR="0047349D">
        <w:rPr>
          <w:rFonts w:hint="eastAsia"/>
          <w:sz w:val="21"/>
          <w:szCs w:val="21"/>
        </w:rPr>
        <w:t>（令和</w:t>
      </w:r>
      <w:r w:rsidR="0047349D">
        <w:rPr>
          <w:sz w:val="21"/>
          <w:szCs w:val="21"/>
        </w:rPr>
        <w:t>2</w:t>
      </w:r>
      <w:r w:rsidR="0047349D">
        <w:rPr>
          <w:rFonts w:hint="eastAsia"/>
          <w:sz w:val="21"/>
          <w:szCs w:val="21"/>
        </w:rPr>
        <w:t>）</w:t>
      </w:r>
      <w:r w:rsidR="00754661">
        <w:rPr>
          <w:rFonts w:hint="eastAsia"/>
          <w:sz w:val="21"/>
          <w:szCs w:val="21"/>
        </w:rPr>
        <w:t>年</w:t>
      </w:r>
      <w:r w:rsidR="00754661">
        <w:rPr>
          <w:sz w:val="21"/>
          <w:szCs w:val="21"/>
        </w:rPr>
        <w:t>3</w:t>
      </w:r>
      <w:r w:rsidR="00754661">
        <w:rPr>
          <w:rFonts w:hint="eastAsia"/>
          <w:sz w:val="21"/>
          <w:szCs w:val="21"/>
        </w:rPr>
        <w:t>月には</w:t>
      </w:r>
      <w:r>
        <w:rPr>
          <w:rFonts w:hint="eastAsia"/>
          <w:sz w:val="21"/>
          <w:szCs w:val="21"/>
        </w:rPr>
        <w:t>東京にも国際仲裁・</w:t>
      </w:r>
      <w:r>
        <w:rPr>
          <w:rFonts w:cs="Times New Roman"/>
          <w:sz w:val="21"/>
          <w:szCs w:val="21"/>
        </w:rPr>
        <w:t>ADR</w:t>
      </w:r>
      <w:r>
        <w:rPr>
          <w:rFonts w:hint="eastAsia"/>
          <w:sz w:val="21"/>
          <w:szCs w:val="21"/>
        </w:rPr>
        <w:t>専用施設</w:t>
      </w:r>
      <w:r w:rsidR="00754661">
        <w:rPr>
          <w:rFonts w:hint="eastAsia"/>
          <w:sz w:val="21"/>
          <w:szCs w:val="21"/>
        </w:rPr>
        <w:t>の</w:t>
      </w:r>
      <w:r>
        <w:rPr>
          <w:rFonts w:hint="eastAsia"/>
          <w:sz w:val="21"/>
          <w:szCs w:val="21"/>
        </w:rPr>
        <w:t>開業</w:t>
      </w:r>
      <w:r w:rsidR="00754661">
        <w:rPr>
          <w:rFonts w:hint="eastAsia"/>
          <w:sz w:val="21"/>
          <w:szCs w:val="21"/>
        </w:rPr>
        <w:t>が予定</w:t>
      </w:r>
      <w:r>
        <w:rPr>
          <w:rFonts w:hint="eastAsia"/>
          <w:sz w:val="21"/>
          <w:szCs w:val="21"/>
        </w:rPr>
        <w:t>されている。ここでは、仲裁を行う審理場、</w:t>
      </w:r>
      <w:r>
        <w:rPr>
          <w:rFonts w:cs="Times New Roman"/>
          <w:sz w:val="21"/>
          <w:szCs w:val="21"/>
        </w:rPr>
        <w:t>IT</w:t>
      </w:r>
      <w:r>
        <w:rPr>
          <w:rFonts w:hint="eastAsia"/>
          <w:sz w:val="21"/>
          <w:szCs w:val="21"/>
        </w:rPr>
        <w:t>設備、会議室等の設備を有し、関係法令の整備、国際仲裁に習熟した実務家の育成等も目指している。</w:t>
      </w:r>
    </w:p>
    <w:p w14:paraId="4CE593F6" w14:textId="77777777" w:rsidR="009B33F1" w:rsidRDefault="009B33F1">
      <w:pPr>
        <w:adjustRightInd/>
        <w:rPr>
          <w:rFonts w:ascii="ＭＳ 明朝" w:cs="Times New Roman"/>
        </w:rPr>
      </w:pPr>
      <w:r>
        <w:rPr>
          <w:rFonts w:hint="eastAsia"/>
          <w:sz w:val="21"/>
          <w:szCs w:val="21"/>
        </w:rPr>
        <w:t xml:space="preserve">　また、司法外交の強化という視点からは、国際調停の場を提供するということも期待される。国際調停は第三者の弁護士などの調停人が対立する企業の間に立ち、解決策の合意に向けた話し合いを進めさせる</w:t>
      </w:r>
      <w:r w:rsidR="00464ED5">
        <w:rPr>
          <w:rFonts w:hint="eastAsia"/>
          <w:sz w:val="21"/>
          <w:szCs w:val="21"/>
        </w:rPr>
        <w:t>手続</w:t>
      </w:r>
      <w:r>
        <w:rPr>
          <w:rFonts w:hint="eastAsia"/>
          <w:sz w:val="21"/>
          <w:szCs w:val="21"/>
        </w:rPr>
        <w:t>であり、各国での裁判や、民間の仲裁人が裁定する国際仲裁に比べて、短期間・低コストで進めやすいことが特徴とされる。同志社大と公益社団法人「日本仲裁人協会」</w:t>
      </w:r>
      <w:r>
        <w:rPr>
          <w:rFonts w:ascii="ＭＳ 明朝" w:hAnsi="ＭＳ 明朝"/>
          <w:sz w:val="21"/>
          <w:szCs w:val="21"/>
        </w:rPr>
        <w:t>(</w:t>
      </w:r>
      <w:r>
        <w:rPr>
          <w:rFonts w:hint="eastAsia"/>
          <w:sz w:val="21"/>
          <w:szCs w:val="21"/>
        </w:rPr>
        <w:t>東京・千代田区</w:t>
      </w:r>
      <w:r>
        <w:rPr>
          <w:rFonts w:ascii="ＭＳ 明朝" w:hAnsi="ＭＳ 明朝"/>
          <w:sz w:val="21"/>
          <w:szCs w:val="21"/>
        </w:rPr>
        <w:t>)</w:t>
      </w:r>
      <w:r>
        <w:rPr>
          <w:rFonts w:hint="eastAsia"/>
          <w:sz w:val="21"/>
          <w:szCs w:val="21"/>
        </w:rPr>
        <w:t>が</w:t>
      </w:r>
      <w:r w:rsidR="004B10A1">
        <w:rPr>
          <w:rFonts w:hint="eastAsia"/>
          <w:sz w:val="21"/>
          <w:szCs w:val="21"/>
        </w:rPr>
        <w:t>協働して</w:t>
      </w:r>
      <w:r>
        <w:rPr>
          <w:rFonts w:hint="eastAsia"/>
          <w:sz w:val="21"/>
          <w:szCs w:val="21"/>
        </w:rPr>
        <w:t>同大学内に</w:t>
      </w:r>
      <w:r w:rsidR="00464ED5">
        <w:rPr>
          <w:rFonts w:hint="eastAsia"/>
          <w:sz w:val="21"/>
          <w:szCs w:val="21"/>
        </w:rPr>
        <w:t>国際的なビジネス紛争を解決する国際調停を行う</w:t>
      </w:r>
      <w:r w:rsidR="00323626">
        <w:rPr>
          <w:rFonts w:hint="eastAsia"/>
          <w:sz w:val="21"/>
          <w:szCs w:val="21"/>
        </w:rPr>
        <w:t>日</w:t>
      </w:r>
      <w:r w:rsidR="00464ED5">
        <w:rPr>
          <w:rFonts w:hint="eastAsia"/>
          <w:sz w:val="21"/>
          <w:szCs w:val="21"/>
        </w:rPr>
        <w:t>本国内初の施設</w:t>
      </w:r>
      <w:r w:rsidR="004B10A1">
        <w:rPr>
          <w:rFonts w:hint="eastAsia"/>
          <w:sz w:val="21"/>
          <w:szCs w:val="21"/>
        </w:rPr>
        <w:t>である</w:t>
      </w:r>
      <w:r>
        <w:rPr>
          <w:rFonts w:hint="eastAsia"/>
          <w:sz w:val="21"/>
          <w:szCs w:val="21"/>
        </w:rPr>
        <w:t>「京都国際調停センター」を設置し、</w:t>
      </w:r>
      <w:r>
        <w:rPr>
          <w:rFonts w:cs="Times New Roman"/>
          <w:sz w:val="21"/>
          <w:szCs w:val="21"/>
        </w:rPr>
        <w:t>2018</w:t>
      </w:r>
      <w:r>
        <w:rPr>
          <w:rFonts w:ascii="ＭＳ 明朝" w:hAnsi="ＭＳ 明朝"/>
          <w:sz w:val="21"/>
          <w:szCs w:val="21"/>
        </w:rPr>
        <w:t>(</w:t>
      </w:r>
      <w:r>
        <w:rPr>
          <w:rFonts w:hint="eastAsia"/>
          <w:sz w:val="21"/>
          <w:szCs w:val="21"/>
        </w:rPr>
        <w:t>平成</w:t>
      </w:r>
      <w:r>
        <w:rPr>
          <w:rFonts w:cs="Times New Roman"/>
          <w:sz w:val="21"/>
          <w:szCs w:val="21"/>
        </w:rPr>
        <w:t>30</w:t>
      </w:r>
      <w:r>
        <w:rPr>
          <w:rFonts w:ascii="ＭＳ 明朝" w:hAnsi="ＭＳ 明朝"/>
          <w:sz w:val="21"/>
          <w:szCs w:val="21"/>
        </w:rPr>
        <w:t>)</w:t>
      </w:r>
      <w:r>
        <w:rPr>
          <w:rFonts w:hint="eastAsia"/>
          <w:sz w:val="21"/>
          <w:szCs w:val="21"/>
        </w:rPr>
        <w:t>年</w:t>
      </w:r>
      <w:r>
        <w:rPr>
          <w:rFonts w:cs="Times New Roman"/>
          <w:sz w:val="21"/>
          <w:szCs w:val="21"/>
        </w:rPr>
        <w:t>11</w:t>
      </w:r>
      <w:r>
        <w:rPr>
          <w:rFonts w:hint="eastAsia"/>
          <w:sz w:val="21"/>
          <w:szCs w:val="21"/>
        </w:rPr>
        <w:t>月</w:t>
      </w:r>
      <w:r>
        <w:rPr>
          <w:rFonts w:cs="Times New Roman"/>
          <w:sz w:val="21"/>
          <w:szCs w:val="21"/>
        </w:rPr>
        <w:t>20</w:t>
      </w:r>
      <w:r>
        <w:rPr>
          <w:rFonts w:hint="eastAsia"/>
          <w:sz w:val="21"/>
          <w:szCs w:val="21"/>
        </w:rPr>
        <w:t>日に運用が開始された。海外の著名調停人も含めた調停人名簿も整えるなど、国内外の企業に利便性の高い仕組みをめざしている。国際調停は、国際仲裁と並んで国際取引における紛争解決手段のグローバル・スタンダードであり、日本企業が国際調停を利用する場合もシンガポールなどに赴くことが多かったことを考えれば、注目される制度である。</w:t>
      </w:r>
    </w:p>
    <w:p w14:paraId="1E6A3045" w14:textId="77777777" w:rsidR="009B33F1" w:rsidRDefault="009B33F1">
      <w:pPr>
        <w:adjustRightInd/>
        <w:rPr>
          <w:rFonts w:ascii="ＭＳ 明朝" w:cs="Times New Roman"/>
        </w:rPr>
      </w:pPr>
    </w:p>
    <w:p w14:paraId="6ACA80C2" w14:textId="77777777" w:rsidR="009B33F1" w:rsidRDefault="009B33F1">
      <w:pPr>
        <w:adjustRightInd/>
        <w:rPr>
          <w:rFonts w:ascii="ＭＳ 明朝" w:cs="Times New Roman"/>
        </w:rPr>
      </w:pPr>
      <w:r>
        <w:rPr>
          <w:rFonts w:cs="Times New Roman"/>
          <w:b/>
          <w:bCs/>
          <w:sz w:val="21"/>
          <w:szCs w:val="21"/>
        </w:rPr>
        <w:t>4</w:t>
      </w:r>
      <w:r>
        <w:rPr>
          <w:rFonts w:hint="eastAsia"/>
          <w:b/>
          <w:bCs/>
          <w:sz w:val="21"/>
          <w:szCs w:val="21"/>
        </w:rPr>
        <w:t xml:space="preserve">　裁判手続の</w:t>
      </w:r>
      <w:r>
        <w:rPr>
          <w:rFonts w:cs="Times New Roman"/>
          <w:b/>
          <w:bCs/>
          <w:sz w:val="21"/>
          <w:szCs w:val="21"/>
        </w:rPr>
        <w:t>IT</w:t>
      </w:r>
      <w:r>
        <w:rPr>
          <w:rFonts w:hint="eastAsia"/>
          <w:b/>
          <w:bCs/>
          <w:sz w:val="21"/>
          <w:szCs w:val="21"/>
        </w:rPr>
        <w:t>化</w:t>
      </w:r>
    </w:p>
    <w:p w14:paraId="75BA8D6E" w14:textId="77777777" w:rsidR="009B33F1" w:rsidRDefault="009B33F1">
      <w:pPr>
        <w:adjustRightInd/>
        <w:rPr>
          <w:rFonts w:ascii="ＭＳ 明朝" w:cs="Times New Roman"/>
        </w:rPr>
      </w:pPr>
      <w:r>
        <w:rPr>
          <w:rFonts w:hint="eastAsia"/>
          <w:sz w:val="21"/>
          <w:szCs w:val="21"/>
        </w:rPr>
        <w:t xml:space="preserve">　内閣官房日本経済再生総合事務局に裁判手続の</w:t>
      </w:r>
      <w:r w:rsidR="0094197D">
        <w:rPr>
          <w:sz w:val="21"/>
          <w:szCs w:val="21"/>
        </w:rPr>
        <w:t>IT</w:t>
      </w:r>
      <w:r>
        <w:rPr>
          <w:rFonts w:hint="eastAsia"/>
          <w:sz w:val="21"/>
          <w:szCs w:val="21"/>
        </w:rPr>
        <w:t>化検討会が設置され、</w:t>
      </w:r>
      <w:r>
        <w:rPr>
          <w:rFonts w:cs="Times New Roman"/>
          <w:sz w:val="21"/>
          <w:szCs w:val="21"/>
        </w:rPr>
        <w:t>2018</w:t>
      </w:r>
      <w:r>
        <w:rPr>
          <w:rFonts w:ascii="ＭＳ 明朝" w:hAnsi="ＭＳ 明朝"/>
          <w:sz w:val="21"/>
          <w:szCs w:val="21"/>
        </w:rPr>
        <w:t>(</w:t>
      </w:r>
      <w:r>
        <w:rPr>
          <w:rFonts w:hint="eastAsia"/>
          <w:sz w:val="21"/>
          <w:szCs w:val="21"/>
        </w:rPr>
        <w:t>平成</w:t>
      </w:r>
      <w:r>
        <w:rPr>
          <w:rFonts w:cs="Times New Roman"/>
          <w:sz w:val="21"/>
          <w:szCs w:val="21"/>
        </w:rPr>
        <w:t>30</w:t>
      </w:r>
      <w:r>
        <w:rPr>
          <w:rFonts w:ascii="ＭＳ 明朝" w:hAnsi="ＭＳ 明朝"/>
          <w:sz w:val="21"/>
          <w:szCs w:val="21"/>
        </w:rPr>
        <w:t>)</w:t>
      </w:r>
      <w:r>
        <w:rPr>
          <w:rFonts w:hint="eastAsia"/>
          <w:sz w:val="21"/>
          <w:szCs w:val="21"/>
        </w:rPr>
        <w:t>年</w:t>
      </w:r>
      <w:r>
        <w:rPr>
          <w:rFonts w:cs="Times New Roman"/>
          <w:sz w:val="21"/>
          <w:szCs w:val="21"/>
        </w:rPr>
        <w:t>3</w:t>
      </w:r>
      <w:r>
        <w:rPr>
          <w:rFonts w:hint="eastAsia"/>
          <w:sz w:val="21"/>
          <w:szCs w:val="21"/>
        </w:rPr>
        <w:t>月に</w:t>
      </w:r>
      <w:r>
        <w:rPr>
          <w:rFonts w:hint="eastAsia"/>
          <w:sz w:val="21"/>
          <w:szCs w:val="21"/>
        </w:rPr>
        <w:lastRenderedPageBreak/>
        <w:t>「裁判手続等の</w:t>
      </w:r>
      <w:r>
        <w:rPr>
          <w:rFonts w:cs="Times New Roman"/>
          <w:sz w:val="21"/>
          <w:szCs w:val="21"/>
        </w:rPr>
        <w:t>IT</w:t>
      </w:r>
      <w:r>
        <w:rPr>
          <w:rFonts w:hint="eastAsia"/>
          <w:sz w:val="21"/>
          <w:szCs w:val="21"/>
        </w:rPr>
        <w:t>化に向けた取りまとめ～『</w:t>
      </w:r>
      <w:r>
        <w:rPr>
          <w:rFonts w:cs="Times New Roman"/>
          <w:sz w:val="21"/>
          <w:szCs w:val="21"/>
        </w:rPr>
        <w:t>3</w:t>
      </w:r>
      <w:r>
        <w:rPr>
          <w:rFonts w:hint="eastAsia"/>
          <w:sz w:val="21"/>
          <w:szCs w:val="21"/>
        </w:rPr>
        <w:t>つのｅ』の実現に向けて」が提出された。日弁連ではそれを踏まえて、報告の要旨と</w:t>
      </w:r>
      <w:r>
        <w:rPr>
          <w:rFonts w:cs="Times New Roman"/>
          <w:sz w:val="21"/>
          <w:szCs w:val="21"/>
        </w:rPr>
        <w:t>61</w:t>
      </w:r>
      <w:r>
        <w:rPr>
          <w:rFonts w:hint="eastAsia"/>
          <w:sz w:val="21"/>
          <w:szCs w:val="21"/>
        </w:rPr>
        <w:t>の論点を取り纏めて関連委員会と各弁護士会宛に意見照会が行われた。</w:t>
      </w:r>
    </w:p>
    <w:p w14:paraId="10D0B804" w14:textId="77777777" w:rsidR="009B33F1" w:rsidRDefault="009B33F1" w:rsidP="00464ED5">
      <w:pPr>
        <w:adjustRightInd/>
        <w:ind w:firstLineChars="100" w:firstLine="212"/>
        <w:rPr>
          <w:rFonts w:ascii="ＭＳ 明朝" w:cs="Times New Roman"/>
        </w:rPr>
      </w:pPr>
      <w:r>
        <w:rPr>
          <w:rFonts w:hint="eastAsia"/>
          <w:sz w:val="21"/>
          <w:szCs w:val="21"/>
        </w:rPr>
        <w:t>東弁に対する意見照会にあたり、当会としても意見を提出している。</w:t>
      </w:r>
    </w:p>
    <w:p w14:paraId="32301917" w14:textId="77777777" w:rsidR="009B33F1" w:rsidRDefault="009B33F1">
      <w:pPr>
        <w:adjustRightInd/>
        <w:rPr>
          <w:rFonts w:ascii="ＭＳ 明朝" w:cs="Times New Roman"/>
        </w:rPr>
      </w:pPr>
      <w:r>
        <w:rPr>
          <w:rFonts w:hint="eastAsia"/>
          <w:sz w:val="21"/>
          <w:szCs w:val="21"/>
        </w:rPr>
        <w:t xml:space="preserve">　検討会における裁判手続の</w:t>
      </w:r>
      <w:r>
        <w:rPr>
          <w:rFonts w:cs="Times New Roman"/>
          <w:sz w:val="21"/>
          <w:szCs w:val="21"/>
        </w:rPr>
        <w:t>IT</w:t>
      </w:r>
      <w:r>
        <w:rPr>
          <w:rFonts w:hint="eastAsia"/>
          <w:sz w:val="21"/>
          <w:szCs w:val="21"/>
        </w:rPr>
        <w:t>化における３つのｅとは、民事手続における①ｅ提出</w:t>
      </w:r>
      <w:r>
        <w:rPr>
          <w:rFonts w:ascii="ＭＳ 明朝" w:hAnsi="ＭＳ 明朝"/>
          <w:sz w:val="21"/>
          <w:szCs w:val="21"/>
        </w:rPr>
        <w:t>(</w:t>
      </w:r>
      <w:r>
        <w:rPr>
          <w:rFonts w:cs="Times New Roman"/>
          <w:sz w:val="21"/>
          <w:szCs w:val="21"/>
        </w:rPr>
        <w:t>e-filing</w:t>
      </w:r>
      <w:r>
        <w:rPr>
          <w:rFonts w:ascii="ＭＳ 明朝" w:hAnsi="ＭＳ 明朝"/>
          <w:sz w:val="21"/>
          <w:szCs w:val="21"/>
        </w:rPr>
        <w:t>)</w:t>
      </w:r>
      <w:r>
        <w:rPr>
          <w:rFonts w:hint="eastAsia"/>
          <w:sz w:val="21"/>
          <w:szCs w:val="21"/>
        </w:rPr>
        <w:t>、②ｅ事件管理</w:t>
      </w:r>
      <w:r>
        <w:rPr>
          <w:rFonts w:ascii="ＭＳ 明朝" w:hAnsi="ＭＳ 明朝"/>
          <w:sz w:val="21"/>
          <w:szCs w:val="21"/>
        </w:rPr>
        <w:t>(</w:t>
      </w:r>
      <w:r>
        <w:rPr>
          <w:rFonts w:cs="Times New Roman"/>
          <w:sz w:val="21"/>
          <w:szCs w:val="21"/>
        </w:rPr>
        <w:t>e-Case Management</w:t>
      </w:r>
      <w:r>
        <w:rPr>
          <w:rFonts w:ascii="ＭＳ 明朝" w:hAnsi="ＭＳ 明朝"/>
          <w:sz w:val="21"/>
          <w:szCs w:val="21"/>
        </w:rPr>
        <w:t>)</w:t>
      </w:r>
      <w:r>
        <w:rPr>
          <w:rFonts w:hint="eastAsia"/>
          <w:sz w:val="21"/>
          <w:szCs w:val="21"/>
        </w:rPr>
        <w:t>、③ｅ法廷</w:t>
      </w:r>
      <w:r>
        <w:rPr>
          <w:rFonts w:ascii="ＭＳ 明朝" w:hAnsi="ＭＳ 明朝"/>
          <w:sz w:val="21"/>
          <w:szCs w:val="21"/>
        </w:rPr>
        <w:t>(</w:t>
      </w:r>
      <w:r>
        <w:rPr>
          <w:rFonts w:cs="Times New Roman"/>
          <w:sz w:val="21"/>
          <w:szCs w:val="21"/>
        </w:rPr>
        <w:t>e-Court</w:t>
      </w:r>
      <w:r>
        <w:rPr>
          <w:rFonts w:ascii="ＭＳ 明朝" w:hAnsi="ＭＳ 明朝"/>
          <w:sz w:val="21"/>
          <w:szCs w:val="21"/>
        </w:rPr>
        <w:t>)</w:t>
      </w:r>
      <w:r>
        <w:rPr>
          <w:rFonts w:hint="eastAsia"/>
          <w:sz w:val="21"/>
          <w:szCs w:val="21"/>
        </w:rPr>
        <w:t>であるが、取りまとめは、これらの観点から、訴え提起から判決言い渡しまでの民事訴訟手続全体を、原告・被告・裁判所それぞれの立場から時系列で見て、実現すべきものとして期待する内容や望ましいと考える方向性等を明らかにする趣旨で出されている。</w:t>
      </w:r>
    </w:p>
    <w:p w14:paraId="7A3F6490" w14:textId="77777777" w:rsidR="009B33F1" w:rsidRDefault="009B33F1">
      <w:pPr>
        <w:adjustRightInd/>
        <w:rPr>
          <w:rFonts w:ascii="ＭＳ 明朝" w:cs="Times New Roman"/>
        </w:rPr>
      </w:pPr>
      <w:r>
        <w:rPr>
          <w:rFonts w:hint="eastAsia"/>
          <w:sz w:val="21"/>
          <w:szCs w:val="21"/>
        </w:rPr>
        <w:t xml:space="preserve">　取りまとめにおいて、①ｅ提出は、裁判所への訴状の提出、訴え提起時の手数料等の納付、訴状や判決書きの送達、答弁書その他準備書面等のやり取り、のそれぞれの場面において</w:t>
      </w:r>
      <w:r>
        <w:rPr>
          <w:rFonts w:cs="Times New Roman"/>
          <w:sz w:val="21"/>
          <w:szCs w:val="21"/>
        </w:rPr>
        <w:t>IT</w:t>
      </w:r>
      <w:r>
        <w:rPr>
          <w:rFonts w:hint="eastAsia"/>
          <w:sz w:val="21"/>
          <w:szCs w:val="21"/>
        </w:rPr>
        <w:t>ツールの利用により、</w:t>
      </w:r>
      <w:r>
        <w:rPr>
          <w:rFonts w:cs="Times New Roman"/>
          <w:sz w:val="21"/>
          <w:szCs w:val="21"/>
        </w:rPr>
        <w:t>24</w:t>
      </w:r>
      <w:r>
        <w:rPr>
          <w:rFonts w:hint="eastAsia"/>
          <w:sz w:val="21"/>
          <w:szCs w:val="21"/>
        </w:rPr>
        <w:t>時間</w:t>
      </w:r>
      <w:r>
        <w:rPr>
          <w:rFonts w:cs="Times New Roman"/>
          <w:sz w:val="21"/>
          <w:szCs w:val="21"/>
        </w:rPr>
        <w:t>365</w:t>
      </w:r>
      <w:r>
        <w:rPr>
          <w:rFonts w:hint="eastAsia"/>
          <w:sz w:val="21"/>
          <w:szCs w:val="21"/>
        </w:rPr>
        <w:t>日利用可能な、電子情報によるオンライン提出へ移行し、訴訟記録に紙媒体を併存させないことが望ましいとされる。</w:t>
      </w:r>
    </w:p>
    <w:p w14:paraId="6D01E704" w14:textId="77777777" w:rsidR="009B33F1" w:rsidRDefault="009B33F1">
      <w:pPr>
        <w:adjustRightInd/>
        <w:rPr>
          <w:rFonts w:ascii="ＭＳ 明朝" w:cs="Times New Roman"/>
        </w:rPr>
      </w:pPr>
      <w:r>
        <w:rPr>
          <w:rFonts w:hint="eastAsia"/>
          <w:sz w:val="21"/>
          <w:szCs w:val="21"/>
        </w:rPr>
        <w:t xml:space="preserve">　また、②ｅ事件管理では、訴状受付・審査・補正、</w:t>
      </w:r>
      <w:r w:rsidR="005D7A96">
        <w:rPr>
          <w:rFonts w:hint="eastAsia"/>
          <w:sz w:val="21"/>
          <w:szCs w:val="21"/>
        </w:rPr>
        <w:t>第</w:t>
      </w:r>
      <w:r w:rsidR="00A50C51">
        <w:rPr>
          <w:sz w:val="21"/>
          <w:szCs w:val="21"/>
        </w:rPr>
        <w:t>1</w:t>
      </w:r>
      <w:r>
        <w:rPr>
          <w:rFonts w:hint="eastAsia"/>
          <w:sz w:val="21"/>
          <w:szCs w:val="21"/>
        </w:rPr>
        <w:t>回口頭弁論期日の調整・指定、争点整理と計画審理、人証調べ・判決の言い渡しについて、訴訟当事者及び訴訟代理人が必要な訴訟記録にオンラインでアクセス</w:t>
      </w:r>
      <w:r w:rsidR="005D7A96">
        <w:rPr>
          <w:rFonts w:hint="eastAsia"/>
          <w:sz w:val="21"/>
          <w:szCs w:val="21"/>
        </w:rPr>
        <w:t>し</w:t>
      </w:r>
      <w:r>
        <w:rPr>
          <w:rFonts w:hint="eastAsia"/>
          <w:sz w:val="21"/>
          <w:szCs w:val="21"/>
        </w:rPr>
        <w:t>、又は、期日の進捗状況も確認できる仕組みが構築されることが望ましく、これによって、裁判手続の透明性も高まり、当事者本人や代理人が紙媒体の訴訟記録を自ら持参・管理する負担から解放される効果が期待できるとする。</w:t>
      </w:r>
    </w:p>
    <w:p w14:paraId="7D086448" w14:textId="77777777" w:rsidR="009B33F1" w:rsidRDefault="009B33F1">
      <w:pPr>
        <w:adjustRightInd/>
        <w:rPr>
          <w:rFonts w:ascii="ＭＳ 明朝" w:cs="Times New Roman"/>
        </w:rPr>
      </w:pPr>
      <w:r>
        <w:rPr>
          <w:rFonts w:hint="eastAsia"/>
          <w:sz w:val="21"/>
          <w:szCs w:val="21"/>
        </w:rPr>
        <w:t xml:space="preserve">　さらに、③ｅ法廷では、第</w:t>
      </w:r>
      <w:r>
        <w:rPr>
          <w:rFonts w:cs="Times New Roman"/>
          <w:sz w:val="21"/>
          <w:szCs w:val="21"/>
        </w:rPr>
        <w:t>1</w:t>
      </w:r>
      <w:r>
        <w:rPr>
          <w:rFonts w:hint="eastAsia"/>
          <w:sz w:val="21"/>
          <w:szCs w:val="21"/>
        </w:rPr>
        <w:t>回口頭弁論期日、争点整理手続、人証調べ期日等、判決言渡し、の各場面において、当事者等の裁判所への出頭の時間的・経済的負担を軽減するためや、期日にメリハリを付けて審理の充実度を高めるため、当事者の一方又は双方によるテレビ会議やウェブ会議の利用を大幅に拡大するのが望ましいとする。</w:t>
      </w:r>
    </w:p>
    <w:p w14:paraId="45FC2AA6" w14:textId="77777777" w:rsidR="009B33F1" w:rsidRDefault="009B33F1">
      <w:pPr>
        <w:adjustRightInd/>
        <w:rPr>
          <w:rFonts w:ascii="ＭＳ 明朝" w:cs="Times New Roman"/>
        </w:rPr>
      </w:pPr>
      <w:r>
        <w:rPr>
          <w:rFonts w:hint="eastAsia"/>
          <w:sz w:val="21"/>
          <w:szCs w:val="21"/>
        </w:rPr>
        <w:t xml:space="preserve">　しかし、現在実用可能な技術面から見れば、</w:t>
      </w:r>
      <w:r>
        <w:rPr>
          <w:rFonts w:cs="Times New Roman"/>
          <w:sz w:val="21"/>
          <w:szCs w:val="21"/>
        </w:rPr>
        <w:t>IT</w:t>
      </w:r>
      <w:r>
        <w:rPr>
          <w:rFonts w:hint="eastAsia"/>
          <w:sz w:val="21"/>
          <w:szCs w:val="21"/>
        </w:rPr>
        <w:t>テクノロジーの活用といっても、情報管理の安全性、安定性や秘密保持の必要性から考えて直ちに利用可能な技術もあれば、相当程度の費用及び時間を要するものもある。これらをひとくくりに</w:t>
      </w:r>
      <w:r>
        <w:rPr>
          <w:rFonts w:cs="Times New Roman"/>
          <w:sz w:val="21"/>
          <w:szCs w:val="21"/>
        </w:rPr>
        <w:t>IT</w:t>
      </w:r>
      <w:r>
        <w:rPr>
          <w:rFonts w:hint="eastAsia"/>
          <w:sz w:val="21"/>
          <w:szCs w:val="21"/>
        </w:rPr>
        <w:t>化として並行的に推進することは極めて困難である。また、訴訟手続を利用する当事名、又は、代理人の</w:t>
      </w:r>
      <w:r>
        <w:rPr>
          <w:rFonts w:cs="Times New Roman"/>
          <w:sz w:val="21"/>
          <w:szCs w:val="21"/>
        </w:rPr>
        <w:t>IT</w:t>
      </w:r>
      <w:r>
        <w:rPr>
          <w:rFonts w:hint="eastAsia"/>
          <w:sz w:val="21"/>
          <w:szCs w:val="21"/>
        </w:rPr>
        <w:t>テクノロジーに対する理解度、利用能力等には相当な差があり、利用者の平等性を確保するためには</w:t>
      </w:r>
      <w:r>
        <w:rPr>
          <w:rFonts w:cs="Times New Roman"/>
          <w:sz w:val="21"/>
          <w:szCs w:val="21"/>
        </w:rPr>
        <w:t>IT</w:t>
      </w:r>
      <w:r>
        <w:rPr>
          <w:rFonts w:hint="eastAsia"/>
          <w:sz w:val="21"/>
          <w:szCs w:val="21"/>
        </w:rPr>
        <w:t>テクノロジーの利用だけではなく、その教育やサポートをどうするかという視点が不可欠である</w:t>
      </w:r>
      <w:r w:rsidR="00A50C51">
        <w:rPr>
          <w:rFonts w:hint="eastAsia"/>
          <w:sz w:val="21"/>
          <w:szCs w:val="21"/>
        </w:rPr>
        <w:t>（統計資料によれば訴訟事件のうち</w:t>
      </w:r>
      <w:r w:rsidR="0022549F">
        <w:rPr>
          <w:rFonts w:hint="eastAsia"/>
          <w:sz w:val="21"/>
          <w:szCs w:val="21"/>
        </w:rPr>
        <w:t>原被告</w:t>
      </w:r>
      <w:r w:rsidR="00A50C51">
        <w:rPr>
          <w:rFonts w:hint="eastAsia"/>
          <w:sz w:val="21"/>
          <w:szCs w:val="21"/>
        </w:rPr>
        <w:t>双方とも</w:t>
      </w:r>
      <w:r w:rsidR="0022549F">
        <w:rPr>
          <w:rFonts w:hint="eastAsia"/>
          <w:sz w:val="21"/>
          <w:szCs w:val="21"/>
        </w:rPr>
        <w:t>あるいは一方が</w:t>
      </w:r>
      <w:r w:rsidR="00A50C51">
        <w:rPr>
          <w:rFonts w:hint="eastAsia"/>
          <w:sz w:val="21"/>
          <w:szCs w:val="21"/>
        </w:rPr>
        <w:t>本人</w:t>
      </w:r>
      <w:r w:rsidR="0022549F">
        <w:rPr>
          <w:rFonts w:hint="eastAsia"/>
          <w:sz w:val="21"/>
          <w:szCs w:val="21"/>
        </w:rPr>
        <w:t>である</w:t>
      </w:r>
      <w:r w:rsidR="00A50C51">
        <w:rPr>
          <w:rFonts w:hint="eastAsia"/>
          <w:sz w:val="21"/>
          <w:szCs w:val="21"/>
        </w:rPr>
        <w:t>訴訟</w:t>
      </w:r>
      <w:r w:rsidR="0022549F">
        <w:rPr>
          <w:rFonts w:hint="eastAsia"/>
          <w:sz w:val="21"/>
          <w:szCs w:val="21"/>
        </w:rPr>
        <w:t>（本人訴訟）</w:t>
      </w:r>
      <w:r w:rsidR="00A50C51">
        <w:rPr>
          <w:rFonts w:hint="eastAsia"/>
          <w:sz w:val="21"/>
          <w:szCs w:val="21"/>
        </w:rPr>
        <w:t>の割合は</w:t>
      </w:r>
      <w:r w:rsidR="00A50C51">
        <w:rPr>
          <w:sz w:val="21"/>
          <w:szCs w:val="21"/>
        </w:rPr>
        <w:t>2010</w:t>
      </w:r>
      <w:r w:rsidR="00A50C51">
        <w:rPr>
          <w:rFonts w:hint="eastAsia"/>
          <w:sz w:val="21"/>
          <w:szCs w:val="21"/>
        </w:rPr>
        <w:t>（平成</w:t>
      </w:r>
      <w:r w:rsidR="00A50C51">
        <w:rPr>
          <w:sz w:val="21"/>
          <w:szCs w:val="21"/>
        </w:rPr>
        <w:t>22</w:t>
      </w:r>
      <w:r w:rsidR="00A50C51">
        <w:rPr>
          <w:rFonts w:hint="eastAsia"/>
          <w:sz w:val="21"/>
          <w:szCs w:val="21"/>
        </w:rPr>
        <w:t>）年が</w:t>
      </w:r>
      <w:r w:rsidR="00A50C51">
        <w:rPr>
          <w:sz w:val="21"/>
          <w:szCs w:val="21"/>
        </w:rPr>
        <w:t>59.9</w:t>
      </w:r>
      <w:r w:rsidR="00A50C51">
        <w:rPr>
          <w:rFonts w:hint="eastAsia"/>
          <w:sz w:val="21"/>
          <w:szCs w:val="21"/>
        </w:rPr>
        <w:t>％、</w:t>
      </w:r>
      <w:r w:rsidR="00A50C51">
        <w:rPr>
          <w:sz w:val="21"/>
          <w:szCs w:val="21"/>
        </w:rPr>
        <w:t>2016</w:t>
      </w:r>
      <w:r w:rsidR="00A50C51">
        <w:rPr>
          <w:rFonts w:hint="eastAsia"/>
          <w:sz w:val="21"/>
          <w:szCs w:val="21"/>
        </w:rPr>
        <w:t>（平成</w:t>
      </w:r>
      <w:r w:rsidR="00A50C51">
        <w:rPr>
          <w:sz w:val="21"/>
          <w:szCs w:val="21"/>
        </w:rPr>
        <w:t>28</w:t>
      </w:r>
      <w:r w:rsidR="00A50C51">
        <w:rPr>
          <w:rFonts w:hint="eastAsia"/>
          <w:sz w:val="21"/>
          <w:szCs w:val="21"/>
        </w:rPr>
        <w:t>）年が</w:t>
      </w:r>
      <w:r w:rsidR="00A50C51">
        <w:rPr>
          <w:sz w:val="21"/>
          <w:szCs w:val="21"/>
        </w:rPr>
        <w:t>53.5</w:t>
      </w:r>
      <w:r w:rsidR="00A50C51">
        <w:rPr>
          <w:rFonts w:hint="eastAsia"/>
          <w:sz w:val="21"/>
          <w:szCs w:val="21"/>
        </w:rPr>
        <w:t>％であり、</w:t>
      </w:r>
      <w:r w:rsidR="0022549F">
        <w:rPr>
          <w:rFonts w:hint="eastAsia"/>
          <w:sz w:val="21"/>
          <w:szCs w:val="21"/>
        </w:rPr>
        <w:t>これら本人訴訟へのサポートを行い、裁判を受ける権利が害されることのないよう対策を取る必要がある</w:t>
      </w:r>
      <w:r w:rsidR="008A422F">
        <w:rPr>
          <w:rFonts w:hint="eastAsia"/>
          <w:sz w:val="21"/>
          <w:szCs w:val="21"/>
        </w:rPr>
        <w:t>。日弁連も</w:t>
      </w:r>
      <w:r w:rsidR="008A422F">
        <w:rPr>
          <w:sz w:val="21"/>
          <w:szCs w:val="21"/>
        </w:rPr>
        <w:t>2019</w:t>
      </w:r>
      <w:r w:rsidR="008A422F">
        <w:rPr>
          <w:rFonts w:hint="eastAsia"/>
          <w:sz w:val="21"/>
          <w:szCs w:val="21"/>
        </w:rPr>
        <w:t>（令和元）年</w:t>
      </w:r>
      <w:r w:rsidR="008A422F">
        <w:rPr>
          <w:sz w:val="21"/>
          <w:szCs w:val="21"/>
        </w:rPr>
        <w:t>9</w:t>
      </w:r>
      <w:r w:rsidR="008A422F">
        <w:rPr>
          <w:rFonts w:hint="eastAsia"/>
          <w:sz w:val="21"/>
          <w:szCs w:val="21"/>
        </w:rPr>
        <w:t>月</w:t>
      </w:r>
      <w:r w:rsidR="008A422F">
        <w:rPr>
          <w:sz w:val="21"/>
          <w:szCs w:val="21"/>
        </w:rPr>
        <w:t>12</w:t>
      </w:r>
      <w:r w:rsidR="008A422F">
        <w:rPr>
          <w:rFonts w:hint="eastAsia"/>
          <w:sz w:val="21"/>
          <w:szCs w:val="21"/>
        </w:rPr>
        <w:t>日付で「民事裁判手続の</w:t>
      </w:r>
      <w:r w:rsidR="008A422F">
        <w:rPr>
          <w:sz w:val="21"/>
          <w:szCs w:val="21"/>
        </w:rPr>
        <w:t>IT</w:t>
      </w:r>
      <w:r w:rsidR="008A422F">
        <w:rPr>
          <w:rFonts w:hint="eastAsia"/>
          <w:sz w:val="21"/>
          <w:szCs w:val="21"/>
        </w:rPr>
        <w:t>化における本人サポートに関する基本方針」を定めて純粋な電子化支援サービスだけではなく法的な助言などを伴う法律サービスとセットとなったサポート（実質サポート）を行うべきとしている）</w:t>
      </w:r>
      <w:r w:rsidR="0022549F">
        <w:rPr>
          <w:rFonts w:hint="eastAsia"/>
          <w:sz w:val="21"/>
          <w:szCs w:val="21"/>
        </w:rPr>
        <w:t>。</w:t>
      </w:r>
      <w:r>
        <w:rPr>
          <w:rFonts w:hint="eastAsia"/>
          <w:sz w:val="21"/>
          <w:szCs w:val="21"/>
        </w:rPr>
        <w:t>さらに、現行の法制度を前提に構築されてきたこれまでの民事訴訟手続が、全く想定していなかった状況への変化を求められる場面も想定され、その場合、裁判の公開、直接主義、弁論主義や、処分権主義、口頭主義といった民事訴訟の原則と緊張関係を生ずる可能性もある</w:t>
      </w:r>
      <w:r w:rsidR="00A50C51">
        <w:rPr>
          <w:rFonts w:hint="eastAsia"/>
          <w:sz w:val="21"/>
          <w:szCs w:val="21"/>
        </w:rPr>
        <w:t>。</w:t>
      </w:r>
      <w:r>
        <w:rPr>
          <w:rFonts w:hint="eastAsia"/>
          <w:sz w:val="21"/>
          <w:szCs w:val="21"/>
        </w:rPr>
        <w:t>また、</w:t>
      </w:r>
      <w:r>
        <w:rPr>
          <w:rFonts w:cs="Times New Roman"/>
          <w:sz w:val="21"/>
          <w:szCs w:val="21"/>
        </w:rPr>
        <w:t>IT</w:t>
      </w:r>
      <w:r>
        <w:rPr>
          <w:rFonts w:hint="eastAsia"/>
          <w:sz w:val="21"/>
          <w:szCs w:val="21"/>
        </w:rPr>
        <w:t>化のための法や規則の改正及びその周知には相当な準備と時間をかけることが必須であると考えられる。この様な視点から見た場合、全ての手続を</w:t>
      </w:r>
      <w:r>
        <w:rPr>
          <w:rFonts w:cs="Times New Roman"/>
          <w:sz w:val="21"/>
          <w:szCs w:val="21"/>
        </w:rPr>
        <w:t>IT</w:t>
      </w:r>
      <w:r>
        <w:rPr>
          <w:rFonts w:hint="eastAsia"/>
          <w:sz w:val="21"/>
          <w:szCs w:val="21"/>
        </w:rPr>
        <w:t>化という語で括るのではなく、裁判手続の</w:t>
      </w:r>
      <w:r>
        <w:rPr>
          <w:rFonts w:hint="eastAsia"/>
          <w:sz w:val="21"/>
          <w:szCs w:val="21"/>
        </w:rPr>
        <w:lastRenderedPageBreak/>
        <w:t>利便性の段階的な向上という観点から、現状において技術的に確実であって、信頼性が確保できる、実現可能な部分から</w:t>
      </w:r>
      <w:r w:rsidR="00A50C51">
        <w:rPr>
          <w:rFonts w:hint="eastAsia"/>
          <w:sz w:val="21"/>
          <w:szCs w:val="21"/>
        </w:rPr>
        <w:t>順次</w:t>
      </w:r>
      <w:r>
        <w:rPr>
          <w:rFonts w:hint="eastAsia"/>
          <w:sz w:val="21"/>
          <w:szCs w:val="21"/>
        </w:rPr>
        <w:t>進めていくという姿勢が重要である。また、</w:t>
      </w:r>
      <w:r>
        <w:rPr>
          <w:rFonts w:cs="Times New Roman"/>
          <w:sz w:val="21"/>
          <w:szCs w:val="21"/>
        </w:rPr>
        <w:t>IT</w:t>
      </w:r>
      <w:r>
        <w:rPr>
          <w:rFonts w:hint="eastAsia"/>
          <w:sz w:val="21"/>
          <w:szCs w:val="21"/>
        </w:rPr>
        <w:t>テクノロジーにおける情報の取り扱いにおいて、情報管理に</w:t>
      </w:r>
      <w:r w:rsidR="00F80DFC">
        <w:rPr>
          <w:rFonts w:hint="eastAsia"/>
          <w:sz w:val="21"/>
          <w:szCs w:val="21"/>
        </w:rPr>
        <w:t>障害</w:t>
      </w:r>
      <w:r>
        <w:rPr>
          <w:rFonts w:hint="eastAsia"/>
          <w:sz w:val="21"/>
          <w:szCs w:val="21"/>
        </w:rPr>
        <w:t>が発生して情報が漏洩してインターネットを通じて拡散した場合、それは取り返しがつかないものであるということを念頭に、裁判所におけるオンラインシステムの構築等において、情報セキュリティ対策の万全性をはかり、その実現が確実となるまでの利用は控えるべきである。</w:t>
      </w:r>
    </w:p>
    <w:p w14:paraId="75FCEBF5" w14:textId="77777777" w:rsidR="009B33F1" w:rsidRDefault="009B33F1">
      <w:pPr>
        <w:adjustRightInd/>
        <w:rPr>
          <w:rFonts w:ascii="ＭＳ 明朝" w:cs="Times New Roman"/>
        </w:rPr>
      </w:pPr>
      <w:r>
        <w:rPr>
          <w:rFonts w:hint="eastAsia"/>
          <w:sz w:val="21"/>
          <w:szCs w:val="21"/>
        </w:rPr>
        <w:t xml:space="preserve">　最高裁では、</w:t>
      </w:r>
      <w:r>
        <w:rPr>
          <w:rFonts w:cs="Times New Roman"/>
          <w:sz w:val="21"/>
          <w:szCs w:val="21"/>
        </w:rPr>
        <w:t>2017</w:t>
      </w:r>
      <w:r>
        <w:rPr>
          <w:rFonts w:ascii="ＭＳ 明朝" w:hAnsi="ＭＳ 明朝"/>
          <w:sz w:val="21"/>
          <w:szCs w:val="21"/>
        </w:rPr>
        <w:t>(</w:t>
      </w:r>
      <w:r>
        <w:rPr>
          <w:rFonts w:hint="eastAsia"/>
          <w:sz w:val="21"/>
          <w:szCs w:val="21"/>
        </w:rPr>
        <w:t>平成</w:t>
      </w:r>
      <w:r>
        <w:rPr>
          <w:rFonts w:cs="Times New Roman"/>
          <w:sz w:val="21"/>
          <w:szCs w:val="21"/>
        </w:rPr>
        <w:t>29</w:t>
      </w:r>
      <w:r>
        <w:rPr>
          <w:rFonts w:ascii="ＭＳ 明朝" w:hAnsi="ＭＳ 明朝"/>
          <w:sz w:val="21"/>
          <w:szCs w:val="21"/>
        </w:rPr>
        <w:t>)</w:t>
      </w:r>
      <w:r>
        <w:rPr>
          <w:rFonts w:hint="eastAsia"/>
          <w:sz w:val="21"/>
          <w:szCs w:val="21"/>
        </w:rPr>
        <w:t>年から裁判手続の</w:t>
      </w:r>
      <w:r>
        <w:rPr>
          <w:rFonts w:cs="Times New Roman"/>
          <w:sz w:val="21"/>
          <w:szCs w:val="21"/>
        </w:rPr>
        <w:t>IT</w:t>
      </w:r>
      <w:r>
        <w:rPr>
          <w:rFonts w:hint="eastAsia"/>
          <w:sz w:val="21"/>
          <w:szCs w:val="21"/>
        </w:rPr>
        <w:t>化可能性を検証するため、各地の裁判所で模擬裁判を実施してい</w:t>
      </w:r>
      <w:r w:rsidR="008A422F">
        <w:rPr>
          <w:rFonts w:hint="eastAsia"/>
          <w:sz w:val="21"/>
          <w:szCs w:val="21"/>
        </w:rPr>
        <w:t>たところ、</w:t>
      </w:r>
      <w:r w:rsidR="008A422F">
        <w:rPr>
          <w:sz w:val="21"/>
          <w:szCs w:val="21"/>
        </w:rPr>
        <w:t>2020</w:t>
      </w:r>
      <w:r w:rsidR="008A422F">
        <w:rPr>
          <w:rFonts w:hint="eastAsia"/>
          <w:sz w:val="21"/>
          <w:szCs w:val="21"/>
        </w:rPr>
        <w:t>（令和</w:t>
      </w:r>
      <w:r w:rsidR="008A422F">
        <w:rPr>
          <w:sz w:val="21"/>
          <w:szCs w:val="21"/>
        </w:rPr>
        <w:t>2</w:t>
      </w:r>
      <w:r w:rsidR="008A422F">
        <w:rPr>
          <w:rFonts w:hint="eastAsia"/>
          <w:sz w:val="21"/>
          <w:szCs w:val="21"/>
        </w:rPr>
        <w:t>年）</w:t>
      </w:r>
      <w:r w:rsidR="008A422F">
        <w:rPr>
          <w:sz w:val="21"/>
          <w:szCs w:val="21"/>
        </w:rPr>
        <w:t>2</w:t>
      </w:r>
      <w:r w:rsidR="008A422F">
        <w:rPr>
          <w:rFonts w:hint="eastAsia"/>
          <w:sz w:val="21"/>
          <w:szCs w:val="21"/>
        </w:rPr>
        <w:t>月頃より東京地裁を含む特定庁にてウェブ会議等を活用した争点整理手続の運用を開始する旨公表した。</w:t>
      </w:r>
      <w:r>
        <w:rPr>
          <w:rFonts w:hint="eastAsia"/>
          <w:sz w:val="21"/>
          <w:szCs w:val="21"/>
        </w:rPr>
        <w:t>当会もこれらの</w:t>
      </w:r>
      <w:r w:rsidR="008A422F">
        <w:rPr>
          <w:rFonts w:hint="eastAsia"/>
          <w:sz w:val="21"/>
          <w:szCs w:val="21"/>
        </w:rPr>
        <w:t>模擬裁判の</w:t>
      </w:r>
      <w:r>
        <w:rPr>
          <w:rFonts w:hint="eastAsia"/>
          <w:sz w:val="21"/>
          <w:szCs w:val="21"/>
        </w:rPr>
        <w:t>結果</w:t>
      </w:r>
      <w:r w:rsidR="008A422F">
        <w:rPr>
          <w:rFonts w:hint="eastAsia"/>
          <w:sz w:val="21"/>
          <w:szCs w:val="21"/>
        </w:rPr>
        <w:t>、さらに実際の運用上の問題点の有無</w:t>
      </w:r>
      <w:r>
        <w:rPr>
          <w:rFonts w:hint="eastAsia"/>
          <w:sz w:val="21"/>
          <w:szCs w:val="21"/>
        </w:rPr>
        <w:t>を注視し、批判的観点から利便性、安全性を検証していく姿勢を持って対応していく。</w:t>
      </w:r>
    </w:p>
    <w:p w14:paraId="02F5050D" w14:textId="77777777" w:rsidR="009B33F1" w:rsidRDefault="009B33F1">
      <w:pPr>
        <w:adjustRightInd/>
        <w:rPr>
          <w:rFonts w:ascii="ＭＳ 明朝" w:cs="Times New Roman"/>
        </w:rPr>
      </w:pPr>
    </w:p>
    <w:p w14:paraId="0CCF7EB2" w14:textId="77777777" w:rsidR="009B33F1" w:rsidRDefault="009B33F1">
      <w:pPr>
        <w:adjustRightInd/>
        <w:rPr>
          <w:rFonts w:ascii="ＭＳ 明朝" w:cs="Times New Roman"/>
        </w:rPr>
      </w:pPr>
      <w:r>
        <w:rPr>
          <w:rFonts w:cs="Times New Roman"/>
          <w:b/>
          <w:bCs/>
          <w:sz w:val="21"/>
          <w:szCs w:val="21"/>
        </w:rPr>
        <w:t>5</w:t>
      </w:r>
      <w:r>
        <w:rPr>
          <w:rFonts w:hint="eastAsia"/>
          <w:b/>
          <w:bCs/>
          <w:sz w:val="21"/>
          <w:szCs w:val="21"/>
        </w:rPr>
        <w:t xml:space="preserve">　成年年齢の引下げについて</w:t>
      </w:r>
    </w:p>
    <w:p w14:paraId="0F3C2446" w14:textId="77777777" w:rsidR="00A668BF" w:rsidRDefault="009B33F1">
      <w:pPr>
        <w:adjustRightInd/>
        <w:rPr>
          <w:sz w:val="21"/>
          <w:szCs w:val="21"/>
        </w:rPr>
      </w:pPr>
      <w:r>
        <w:rPr>
          <w:rFonts w:hint="eastAsia"/>
          <w:sz w:val="21"/>
          <w:szCs w:val="21"/>
        </w:rPr>
        <w:t xml:space="preserve">　成年年齢を現行の</w:t>
      </w:r>
      <w:r>
        <w:rPr>
          <w:rFonts w:cs="Times New Roman"/>
          <w:sz w:val="21"/>
          <w:szCs w:val="21"/>
        </w:rPr>
        <w:t>20</w:t>
      </w:r>
      <w:r>
        <w:rPr>
          <w:rFonts w:hint="eastAsia"/>
          <w:sz w:val="21"/>
          <w:szCs w:val="21"/>
        </w:rPr>
        <w:t>歳から</w:t>
      </w:r>
      <w:r>
        <w:rPr>
          <w:rFonts w:cs="Times New Roman"/>
          <w:sz w:val="21"/>
          <w:szCs w:val="21"/>
        </w:rPr>
        <w:t>18</w:t>
      </w:r>
      <w:r>
        <w:rPr>
          <w:rFonts w:hint="eastAsia"/>
          <w:sz w:val="21"/>
          <w:szCs w:val="21"/>
        </w:rPr>
        <w:t>歳に引き下げる改正民法が</w:t>
      </w:r>
      <w:r>
        <w:rPr>
          <w:rFonts w:cs="Times New Roman"/>
          <w:sz w:val="21"/>
          <w:szCs w:val="21"/>
        </w:rPr>
        <w:t>2018</w:t>
      </w:r>
      <w:r>
        <w:rPr>
          <w:rFonts w:ascii="ＭＳ 明朝" w:hAnsi="ＭＳ 明朝"/>
          <w:sz w:val="21"/>
          <w:szCs w:val="21"/>
        </w:rPr>
        <w:t>(</w:t>
      </w:r>
      <w:r>
        <w:rPr>
          <w:rFonts w:hint="eastAsia"/>
          <w:sz w:val="21"/>
          <w:szCs w:val="21"/>
        </w:rPr>
        <w:t>平成</w:t>
      </w:r>
      <w:r>
        <w:rPr>
          <w:rFonts w:cs="Times New Roman"/>
          <w:sz w:val="21"/>
          <w:szCs w:val="21"/>
        </w:rPr>
        <w:t>30</w:t>
      </w:r>
      <w:r>
        <w:rPr>
          <w:rFonts w:ascii="ＭＳ 明朝" w:hAnsi="ＭＳ 明朝"/>
          <w:sz w:val="21"/>
          <w:szCs w:val="21"/>
        </w:rPr>
        <w:t>)</w:t>
      </w:r>
      <w:r>
        <w:rPr>
          <w:rFonts w:hint="eastAsia"/>
          <w:sz w:val="21"/>
          <w:szCs w:val="21"/>
        </w:rPr>
        <w:t>年</w:t>
      </w:r>
      <w:r>
        <w:rPr>
          <w:rFonts w:cs="Times New Roman"/>
          <w:sz w:val="21"/>
          <w:szCs w:val="21"/>
        </w:rPr>
        <w:t>6</w:t>
      </w:r>
      <w:r>
        <w:rPr>
          <w:rFonts w:hint="eastAsia"/>
          <w:sz w:val="21"/>
          <w:szCs w:val="21"/>
        </w:rPr>
        <w:t>月</w:t>
      </w:r>
      <w:r>
        <w:rPr>
          <w:rFonts w:cs="Times New Roman"/>
          <w:sz w:val="21"/>
          <w:szCs w:val="21"/>
        </w:rPr>
        <w:t>13</w:t>
      </w:r>
      <w:r>
        <w:rPr>
          <w:rFonts w:hint="eastAsia"/>
          <w:sz w:val="21"/>
          <w:szCs w:val="21"/>
        </w:rPr>
        <w:t>日成立し、</w:t>
      </w:r>
      <w:r>
        <w:rPr>
          <w:rFonts w:cs="Times New Roman"/>
          <w:sz w:val="21"/>
          <w:szCs w:val="21"/>
        </w:rPr>
        <w:t>2022</w:t>
      </w:r>
      <w:r>
        <w:rPr>
          <w:rFonts w:hint="eastAsia"/>
          <w:sz w:val="21"/>
          <w:szCs w:val="21"/>
        </w:rPr>
        <w:t>年</w:t>
      </w:r>
      <w:r>
        <w:rPr>
          <w:rFonts w:cs="Times New Roman"/>
          <w:sz w:val="21"/>
          <w:szCs w:val="21"/>
        </w:rPr>
        <w:t>4</w:t>
      </w:r>
      <w:r>
        <w:rPr>
          <w:rFonts w:hint="eastAsia"/>
          <w:sz w:val="21"/>
          <w:szCs w:val="21"/>
        </w:rPr>
        <w:t>月</w:t>
      </w:r>
      <w:r>
        <w:rPr>
          <w:rFonts w:cs="Times New Roman"/>
          <w:sz w:val="21"/>
          <w:szCs w:val="21"/>
        </w:rPr>
        <w:t>1</w:t>
      </w:r>
      <w:r>
        <w:rPr>
          <w:rFonts w:hint="eastAsia"/>
          <w:sz w:val="21"/>
          <w:szCs w:val="21"/>
        </w:rPr>
        <w:t>日に施行されることとなった。日弁連では、本法改正に対し、反対の意見を表明してきたところであり、当会も従前より日弁連の見解を支持する態度を示してきている。</w:t>
      </w:r>
    </w:p>
    <w:p w14:paraId="11483EFB" w14:textId="77777777" w:rsidR="009B33F1" w:rsidRDefault="009B33F1" w:rsidP="00A668BF">
      <w:pPr>
        <w:adjustRightInd/>
        <w:ind w:firstLineChars="100" w:firstLine="212"/>
        <w:rPr>
          <w:rFonts w:ascii="ＭＳ 明朝" w:cs="Times New Roman"/>
        </w:rPr>
      </w:pPr>
      <w:r>
        <w:rPr>
          <w:rFonts w:hint="eastAsia"/>
          <w:sz w:val="21"/>
          <w:szCs w:val="21"/>
        </w:rPr>
        <w:t>成年年齢の引下げによって、</w:t>
      </w:r>
      <w:r>
        <w:rPr>
          <w:rFonts w:cs="Times New Roman"/>
          <w:sz w:val="21"/>
          <w:szCs w:val="21"/>
        </w:rPr>
        <w:t>18</w:t>
      </w:r>
      <w:r>
        <w:rPr>
          <w:rFonts w:hint="eastAsia"/>
          <w:sz w:val="21"/>
          <w:szCs w:val="21"/>
        </w:rPr>
        <w:t>歳・</w:t>
      </w:r>
      <w:r>
        <w:rPr>
          <w:rFonts w:cs="Times New Roman"/>
          <w:sz w:val="21"/>
          <w:szCs w:val="21"/>
        </w:rPr>
        <w:t>19</w:t>
      </w:r>
      <w:r>
        <w:rPr>
          <w:rFonts w:hint="eastAsia"/>
          <w:sz w:val="21"/>
          <w:szCs w:val="21"/>
        </w:rPr>
        <w:t>歳の若年者が未成年者取消権</w:t>
      </w:r>
      <w:r>
        <w:rPr>
          <w:rFonts w:ascii="ＭＳ 明朝" w:hAnsi="ＭＳ 明朝"/>
          <w:sz w:val="21"/>
          <w:szCs w:val="21"/>
        </w:rPr>
        <w:t>(</w:t>
      </w:r>
      <w:r>
        <w:rPr>
          <w:rFonts w:hint="eastAsia"/>
          <w:sz w:val="21"/>
          <w:szCs w:val="21"/>
        </w:rPr>
        <w:t>民法</w:t>
      </w:r>
      <w:r>
        <w:rPr>
          <w:rFonts w:cs="Times New Roman"/>
          <w:sz w:val="21"/>
          <w:szCs w:val="21"/>
        </w:rPr>
        <w:t>5</w:t>
      </w:r>
      <w:r>
        <w:rPr>
          <w:rFonts w:hint="eastAsia"/>
          <w:sz w:val="21"/>
          <w:szCs w:val="21"/>
        </w:rPr>
        <w:t>条</w:t>
      </w:r>
      <w:r>
        <w:rPr>
          <w:rFonts w:cs="Times New Roman"/>
          <w:sz w:val="21"/>
          <w:szCs w:val="21"/>
        </w:rPr>
        <w:t>2</w:t>
      </w:r>
      <w:r>
        <w:rPr>
          <w:rFonts w:hint="eastAsia"/>
          <w:sz w:val="21"/>
          <w:szCs w:val="21"/>
        </w:rPr>
        <w:t>項</w:t>
      </w:r>
      <w:r>
        <w:rPr>
          <w:rFonts w:ascii="ＭＳ 明朝" w:hAnsi="ＭＳ 明朝"/>
          <w:sz w:val="21"/>
          <w:szCs w:val="21"/>
        </w:rPr>
        <w:t>)</w:t>
      </w:r>
      <w:r>
        <w:rPr>
          <w:rFonts w:hint="eastAsia"/>
          <w:sz w:val="21"/>
          <w:szCs w:val="21"/>
        </w:rPr>
        <w:t>を喪失することによる消費者被害拡大のおそれ、親権の対象となる年齢引下げによる自立困難な若年者の困窮の増大、高校教育での生徒指導の困難化、養育費支払終期の繰上げのおそれなど多くの弊害が生じることが指摘されている。若年者の消費者被害拡大のおそれについては、未成年者取消権の喪失に対応する施策が必要であるが、本改正とともに成立した消費者契約法改正法では、極めて限定された消費者被害にしか対応できておらず、成年年齢引下げに伴う若年者保護の施策という観点</w:t>
      </w:r>
      <w:r w:rsidR="00A668BF">
        <w:rPr>
          <w:rFonts w:hint="eastAsia"/>
          <w:sz w:val="21"/>
          <w:szCs w:val="21"/>
        </w:rPr>
        <w:t>が</w:t>
      </w:r>
      <w:r>
        <w:rPr>
          <w:rFonts w:hint="eastAsia"/>
          <w:sz w:val="21"/>
          <w:szCs w:val="21"/>
        </w:rPr>
        <w:t>全く不十分であると言わざるを得ない。当会としても、今後、本改正による成年年齢引き下げに伴う弊害が現実化することのないような実効性のある施策を速やかな実現を国に求めるとともに、成年年齢の引下げの法的意味及びその影響などについて広く周知を図るなどの環境整備の実現に向けて活動していく。</w:t>
      </w:r>
    </w:p>
    <w:p w14:paraId="1BA4D833" w14:textId="77777777" w:rsidR="009B33F1" w:rsidRDefault="009B33F1">
      <w:pPr>
        <w:wordWrap w:val="0"/>
        <w:adjustRightInd/>
        <w:jc w:val="right"/>
        <w:rPr>
          <w:rFonts w:ascii="ＭＳ 明朝" w:cs="Times New Roman"/>
        </w:rPr>
      </w:pPr>
      <w:r>
        <w:rPr>
          <w:rFonts w:hint="eastAsia"/>
          <w:sz w:val="21"/>
          <w:szCs w:val="21"/>
        </w:rPr>
        <w:t>以上</w:t>
      </w:r>
    </w:p>
    <w:sectPr w:rsidR="009B33F1" w:rsidSect="001A0F0C">
      <w:type w:val="continuous"/>
      <w:pgSz w:w="11906" w:h="16838"/>
      <w:pgMar w:top="1418" w:right="1134" w:bottom="1134" w:left="1418" w:header="720" w:footer="720" w:gutter="0"/>
      <w:pgNumType w:start="1"/>
      <w:cols w:space="720"/>
      <w:noEndnote/>
      <w:docGrid w:type="linesAndChars" w:linePitch="37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9270C" w14:textId="77777777" w:rsidR="00B823E1" w:rsidRDefault="00B823E1">
      <w:r>
        <w:separator/>
      </w:r>
    </w:p>
  </w:endnote>
  <w:endnote w:type="continuationSeparator" w:id="0">
    <w:p w14:paraId="24F54932" w14:textId="77777777" w:rsidR="00B823E1" w:rsidRDefault="00B8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6D06B" w14:textId="77777777" w:rsidR="00B823E1" w:rsidRDefault="00B823E1">
      <w:r>
        <w:rPr>
          <w:rFonts w:ascii="ＭＳ 明朝" w:cs="Times New Roman"/>
          <w:color w:val="auto"/>
          <w:sz w:val="2"/>
          <w:szCs w:val="2"/>
        </w:rPr>
        <w:continuationSeparator/>
      </w:r>
    </w:p>
  </w:footnote>
  <w:footnote w:type="continuationSeparator" w:id="0">
    <w:p w14:paraId="0500E110" w14:textId="77777777" w:rsidR="00B823E1" w:rsidRDefault="00B82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AF4AE"/>
    <w:multiLevelType w:val="singleLevel"/>
    <w:tmpl w:val="00000000"/>
    <w:name w:val="(1) (2) (3)"/>
    <w:lvl w:ilvl="0">
      <w:start w:val="1"/>
      <w:numFmt w:val="decimal"/>
      <w:lvlText w:val="(%1)"/>
      <w:lvlJc w:val="left"/>
      <w:pPr>
        <w:tabs>
          <w:tab w:val="num" w:pos="446"/>
        </w:tabs>
        <w:ind w:left="444" w:hanging="444"/>
      </w:pPr>
      <w:rPr>
        <w:rFonts w:cs="Times New Roman"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888"/>
  <w:hyphenationZone w:val="0"/>
  <w:drawingGridHorizontalSpacing w:val="409"/>
  <w:drawingGridVerticalSpacing w:val="37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54661"/>
    <w:rsid w:val="000D52B8"/>
    <w:rsid w:val="001A0F0C"/>
    <w:rsid w:val="0022549F"/>
    <w:rsid w:val="002809B1"/>
    <w:rsid w:val="002C2994"/>
    <w:rsid w:val="00323626"/>
    <w:rsid w:val="00464ED5"/>
    <w:rsid w:val="0047349D"/>
    <w:rsid w:val="004B10A1"/>
    <w:rsid w:val="004D45EE"/>
    <w:rsid w:val="004E2D1A"/>
    <w:rsid w:val="00552DFB"/>
    <w:rsid w:val="005C5896"/>
    <w:rsid w:val="005D7A96"/>
    <w:rsid w:val="00672C2D"/>
    <w:rsid w:val="007018B3"/>
    <w:rsid w:val="00754661"/>
    <w:rsid w:val="007750DB"/>
    <w:rsid w:val="00864BF8"/>
    <w:rsid w:val="008A422F"/>
    <w:rsid w:val="008B3D0D"/>
    <w:rsid w:val="0094197D"/>
    <w:rsid w:val="009B33F1"/>
    <w:rsid w:val="00A014ED"/>
    <w:rsid w:val="00A325BF"/>
    <w:rsid w:val="00A34AFD"/>
    <w:rsid w:val="00A50C51"/>
    <w:rsid w:val="00A668BF"/>
    <w:rsid w:val="00B823E1"/>
    <w:rsid w:val="00C4380F"/>
    <w:rsid w:val="00DD599A"/>
    <w:rsid w:val="00EA6FEA"/>
    <w:rsid w:val="00EB3CB1"/>
    <w:rsid w:val="00F6504B"/>
    <w:rsid w:val="00F80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BAFFC0"/>
  <w14:defaultImageDpi w14:val="0"/>
  <w15:docId w15:val="{488BBF94-4B6A-4737-B41E-CB5436CD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66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54661"/>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C4380F"/>
    <w:pPr>
      <w:tabs>
        <w:tab w:val="center" w:pos="4252"/>
        <w:tab w:val="right" w:pos="8504"/>
      </w:tabs>
      <w:snapToGrid w:val="0"/>
    </w:pPr>
  </w:style>
  <w:style w:type="character" w:customStyle="1" w:styleId="a6">
    <w:name w:val="ヘッダー (文字)"/>
    <w:basedOn w:val="a0"/>
    <w:link w:val="a5"/>
    <w:uiPriority w:val="99"/>
    <w:locked/>
    <w:rsid w:val="00C4380F"/>
    <w:rPr>
      <w:rFonts w:cs="ＭＳ 明朝"/>
      <w:color w:val="000000"/>
      <w:kern w:val="0"/>
      <w:sz w:val="22"/>
      <w:szCs w:val="22"/>
    </w:rPr>
  </w:style>
  <w:style w:type="paragraph" w:styleId="a7">
    <w:name w:val="footer"/>
    <w:basedOn w:val="a"/>
    <w:link w:val="a8"/>
    <w:uiPriority w:val="99"/>
    <w:unhideWhenUsed/>
    <w:rsid w:val="00C4380F"/>
    <w:pPr>
      <w:tabs>
        <w:tab w:val="center" w:pos="4252"/>
        <w:tab w:val="right" w:pos="8504"/>
      </w:tabs>
      <w:snapToGrid w:val="0"/>
    </w:pPr>
  </w:style>
  <w:style w:type="character" w:customStyle="1" w:styleId="a8">
    <w:name w:val="フッター (文字)"/>
    <w:basedOn w:val="a0"/>
    <w:link w:val="a7"/>
    <w:uiPriority w:val="99"/>
    <w:locked/>
    <w:rsid w:val="00C4380F"/>
    <w:rPr>
      <w:rFonts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B5EA0-7734-4171-B0CD-DFEA0BD3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1437</Words>
  <Characters>8193</Characters>
  <DocSecurity>0</DocSecurity>
  <Lines>68</Lines>
  <Paragraphs>19</Paragraphs>
  <ScaleCrop>false</ScaleCrop>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2019-10-11T00:49:00Z</cp:lastPrinted>
  <dcterms:created xsi:type="dcterms:W3CDTF">2020-01-22T07:49:00Z</dcterms:created>
  <dcterms:modified xsi:type="dcterms:W3CDTF">2020-01-22T07:49:00Z</dcterms:modified>
</cp:coreProperties>
</file>