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A1" w:rsidRDefault="004645B2" w:rsidP="008C7DA4">
      <w:pPr>
        <w:rPr>
          <w:rFonts w:hint="eastAsia"/>
          <w:b/>
          <w:sz w:val="24"/>
          <w:szCs w:val="24"/>
        </w:rPr>
      </w:pPr>
      <w:r w:rsidRPr="004645B2">
        <w:rPr>
          <w:rFonts w:hint="eastAsia"/>
          <w:b/>
          <w:sz w:val="24"/>
          <w:szCs w:val="24"/>
        </w:rPr>
        <w:t>個人情報保護と人権</w:t>
      </w:r>
    </w:p>
    <w:p w:rsidR="00D05AD2" w:rsidRPr="00213DEC" w:rsidRDefault="00BB7A55" w:rsidP="00BB7A55">
      <w:pPr>
        <w:rPr>
          <w:rFonts w:ascii="ＭＳ 明朝" w:hAnsi="ＭＳ 明朝" w:hint="eastAsia"/>
          <w:b/>
          <w:sz w:val="24"/>
          <w:szCs w:val="24"/>
        </w:rPr>
      </w:pPr>
      <w:r>
        <w:rPr>
          <w:rFonts w:hint="eastAsia"/>
          <w:b/>
          <w:sz w:val="24"/>
          <w:szCs w:val="24"/>
        </w:rPr>
        <w:t>（１</w:t>
      </w:r>
      <w:r w:rsidRPr="005E4FA1">
        <w:rPr>
          <w:rFonts w:hint="eastAsia"/>
          <w:b/>
          <w:sz w:val="24"/>
          <w:szCs w:val="24"/>
        </w:rPr>
        <w:t>）</w:t>
      </w:r>
      <w:r w:rsidR="00A20F51">
        <w:rPr>
          <w:rFonts w:hint="eastAsia"/>
          <w:b/>
          <w:sz w:val="24"/>
          <w:szCs w:val="24"/>
        </w:rPr>
        <w:t>改正個人情報保護法施行と</w:t>
      </w:r>
      <w:r w:rsidR="00A20F51" w:rsidRPr="00213DEC">
        <w:rPr>
          <w:rFonts w:ascii="ＭＳ 明朝" w:hAnsi="ＭＳ 明朝" w:hint="eastAsia"/>
          <w:b/>
          <w:sz w:val="24"/>
          <w:szCs w:val="24"/>
        </w:rPr>
        <w:t xml:space="preserve">GDPR </w:t>
      </w:r>
    </w:p>
    <w:p w:rsidR="00D05AD2" w:rsidRPr="00213DEC" w:rsidRDefault="00D05AD2" w:rsidP="00A20F51">
      <w:pPr>
        <w:ind w:leftChars="150" w:left="315" w:firstLineChars="100" w:firstLine="210"/>
        <w:rPr>
          <w:rFonts w:ascii="ＭＳ 明朝" w:hAnsi="ＭＳ 明朝" w:hint="eastAsia"/>
        </w:rPr>
      </w:pPr>
      <w:r w:rsidRPr="00213DEC">
        <w:rPr>
          <w:rFonts w:ascii="ＭＳ 明朝" w:hAnsi="ＭＳ 明朝" w:hint="eastAsia"/>
        </w:rPr>
        <w:t>個人情報の不正流出の原因が、近年、大きく変化している。これまで目立っていた機器の誤操作や内部関係者による不正など</w:t>
      </w:r>
      <w:r w:rsidR="00A448A8" w:rsidRPr="00213DEC">
        <w:rPr>
          <w:rFonts w:ascii="ＭＳ 明朝" w:hAnsi="ＭＳ 明朝" w:hint="eastAsia"/>
        </w:rPr>
        <w:t>の</w:t>
      </w:r>
      <w:r w:rsidR="00A20F51" w:rsidRPr="00213DEC">
        <w:rPr>
          <w:rFonts w:ascii="ＭＳ 明朝" w:hAnsi="ＭＳ 明朝" w:hint="eastAsia"/>
        </w:rPr>
        <w:t>人的要因は減り、ネットを通じた攻撃が大きな脅威になってきた。</w:t>
      </w:r>
      <w:r w:rsidRPr="00213DEC">
        <w:rPr>
          <w:rFonts w:ascii="ＭＳ 明朝" w:hAnsi="ＭＳ 明朝" w:hint="eastAsia"/>
        </w:rPr>
        <w:t>深刻な</w:t>
      </w:r>
      <w:r w:rsidR="00A20F51" w:rsidRPr="00213DEC">
        <w:rPr>
          <w:rFonts w:ascii="ＭＳ 明朝" w:hAnsi="ＭＳ 明朝" w:hint="eastAsia"/>
        </w:rPr>
        <w:t>漏えい</w:t>
      </w:r>
      <w:r w:rsidRPr="00213DEC">
        <w:rPr>
          <w:rFonts w:ascii="ＭＳ 明朝" w:hAnsi="ＭＳ 明朝" w:hint="eastAsia"/>
        </w:rPr>
        <w:t>事案においては、コンピューターウイルスとネットへの不正アクセスが主な原因と</w:t>
      </w:r>
      <w:r w:rsidR="00A20F51" w:rsidRPr="00213DEC">
        <w:rPr>
          <w:rFonts w:ascii="ＭＳ 明朝" w:hAnsi="ＭＳ 明朝" w:hint="eastAsia"/>
        </w:rPr>
        <w:t>なりつつある</w:t>
      </w:r>
      <w:r w:rsidRPr="00213DEC">
        <w:rPr>
          <w:rFonts w:ascii="ＭＳ 明朝" w:hAnsi="ＭＳ 明朝" w:hint="eastAsia"/>
        </w:rPr>
        <w:t>。人的なミスや内部関係者の不正に対しては、企業・組織による対策が浸透してきた。他方、ネットを通じた外部からの悪意ある攻撃は、新たな手法が次々に開発されていることなどから、</w:t>
      </w:r>
      <w:r w:rsidR="00A448A8" w:rsidRPr="00213DEC">
        <w:rPr>
          <w:rFonts w:ascii="ＭＳ 明朝" w:hAnsi="ＭＳ 明朝" w:hint="eastAsia"/>
        </w:rPr>
        <w:t>個人情報の</w:t>
      </w:r>
      <w:r w:rsidRPr="00213DEC">
        <w:rPr>
          <w:rFonts w:ascii="ＭＳ 明朝" w:hAnsi="ＭＳ 明朝" w:hint="eastAsia"/>
        </w:rPr>
        <w:t>漏洩が起きるリスクが高まっている状況にある。</w:t>
      </w:r>
    </w:p>
    <w:p w:rsidR="00BB7A55" w:rsidRPr="00213DEC" w:rsidRDefault="00A20F51" w:rsidP="00D05AD2">
      <w:pPr>
        <w:ind w:leftChars="150" w:left="315" w:firstLineChars="100" w:firstLine="210"/>
        <w:rPr>
          <w:rFonts w:ascii="ＭＳ 明朝" w:hAnsi="ＭＳ 明朝" w:hint="eastAsia"/>
          <w:color w:val="333333"/>
          <w:szCs w:val="21"/>
          <w:shd w:val="clear" w:color="auto" w:fill="FFFFFF"/>
        </w:rPr>
      </w:pPr>
      <w:r w:rsidRPr="00213DEC">
        <w:rPr>
          <w:rFonts w:ascii="ＭＳ 明朝" w:hAnsi="ＭＳ 明朝" w:hint="eastAsia"/>
          <w:color w:val="333333"/>
          <w:szCs w:val="21"/>
          <w:shd w:val="clear" w:color="auto" w:fill="FFFFFF"/>
        </w:rPr>
        <w:t>かかる環境</w:t>
      </w:r>
      <w:r w:rsidR="00A448A8" w:rsidRPr="00213DEC">
        <w:rPr>
          <w:rFonts w:ascii="ＭＳ 明朝" w:hAnsi="ＭＳ 明朝" w:hint="eastAsia"/>
          <w:color w:val="333333"/>
          <w:szCs w:val="21"/>
          <w:shd w:val="clear" w:color="auto" w:fill="FFFFFF"/>
        </w:rPr>
        <w:t>変化</w:t>
      </w:r>
      <w:r w:rsidRPr="00213DEC">
        <w:rPr>
          <w:rFonts w:ascii="ＭＳ 明朝" w:hAnsi="ＭＳ 明朝" w:hint="eastAsia"/>
          <w:color w:val="333333"/>
          <w:szCs w:val="21"/>
          <w:shd w:val="clear" w:color="auto" w:fill="FFFFFF"/>
        </w:rPr>
        <w:t>も踏まえて、</w:t>
      </w:r>
      <w:r w:rsidR="00DD3027" w:rsidRPr="00213DEC">
        <w:rPr>
          <w:rFonts w:ascii="ＭＳ 明朝" w:hAnsi="ＭＳ 明朝" w:hint="eastAsia"/>
          <w:color w:val="333333"/>
          <w:szCs w:val="21"/>
          <w:shd w:val="clear" w:color="auto" w:fill="FFFFFF"/>
        </w:rPr>
        <w:t>2017</w:t>
      </w:r>
      <w:r w:rsidR="00A448A8" w:rsidRPr="000A6712">
        <w:rPr>
          <w:rFonts w:ascii="ＭＳ 明朝" w:hAnsi="ＭＳ 明朝" w:hint="eastAsia"/>
          <w:color w:val="333333"/>
          <w:szCs w:val="21"/>
          <w:shd w:val="clear" w:color="auto" w:fill="FFFFFF"/>
        </w:rPr>
        <w:t>（平成29）</w:t>
      </w:r>
      <w:r w:rsidR="00BB7A55" w:rsidRPr="00213DEC">
        <w:rPr>
          <w:rFonts w:ascii="ＭＳ 明朝" w:hAnsi="ＭＳ 明朝" w:hint="eastAsia"/>
          <w:color w:val="333333"/>
          <w:szCs w:val="21"/>
          <w:shd w:val="clear" w:color="auto" w:fill="FFFFFF"/>
        </w:rPr>
        <w:t>年</w:t>
      </w:r>
      <w:r w:rsidR="00DD3027" w:rsidRPr="00213DEC">
        <w:rPr>
          <w:rFonts w:ascii="ＭＳ 明朝" w:hAnsi="ＭＳ 明朝" w:hint="eastAsia"/>
          <w:color w:val="333333"/>
          <w:szCs w:val="21"/>
          <w:shd w:val="clear" w:color="auto" w:fill="FFFFFF"/>
        </w:rPr>
        <w:t>5</w:t>
      </w:r>
      <w:r w:rsidR="00BB7A55" w:rsidRPr="00213DEC">
        <w:rPr>
          <w:rFonts w:ascii="ＭＳ 明朝" w:hAnsi="ＭＳ 明朝" w:hint="eastAsia"/>
          <w:color w:val="333333"/>
          <w:szCs w:val="21"/>
          <w:shd w:val="clear" w:color="auto" w:fill="FFFFFF"/>
        </w:rPr>
        <w:t>月、個人情報保護法の改正法が全面施行</w:t>
      </w:r>
      <w:r w:rsidR="00DD3027" w:rsidRPr="00213DEC">
        <w:rPr>
          <w:rFonts w:ascii="ＭＳ 明朝" w:hAnsi="ＭＳ 明朝" w:hint="eastAsia"/>
          <w:color w:val="333333"/>
          <w:szCs w:val="21"/>
          <w:shd w:val="clear" w:color="auto" w:fill="FFFFFF"/>
        </w:rPr>
        <w:t>された。</w:t>
      </w:r>
      <w:r w:rsidR="00BB7A55" w:rsidRPr="00213DEC">
        <w:rPr>
          <w:rFonts w:ascii="ＭＳ 明朝" w:hAnsi="ＭＳ 明朝" w:hint="eastAsia"/>
        </w:rPr>
        <w:t>改正法では、内閣府の外局として「個人情報保護委員会」を設置し、個人情報保護に関する権限を集約し</w:t>
      </w:r>
      <w:r w:rsidR="00494539" w:rsidRPr="00213DEC">
        <w:rPr>
          <w:rFonts w:ascii="ＭＳ 明朝" w:hAnsi="ＭＳ 明朝" w:hint="eastAsia"/>
        </w:rPr>
        <w:t>て</w:t>
      </w:r>
      <w:r w:rsidR="00BB7A55" w:rsidRPr="00213DEC">
        <w:rPr>
          <w:rFonts w:ascii="ＭＳ 明朝" w:hAnsi="ＭＳ 明朝" w:hint="eastAsia"/>
        </w:rPr>
        <w:t>、監督の一元化を図</w:t>
      </w:r>
      <w:r w:rsidR="00DD3027" w:rsidRPr="00213DEC">
        <w:rPr>
          <w:rFonts w:ascii="ＭＳ 明朝" w:hAnsi="ＭＳ 明朝" w:hint="eastAsia"/>
        </w:rPr>
        <w:t>っ</w:t>
      </w:r>
      <w:r w:rsidR="00D05AD2" w:rsidRPr="00213DEC">
        <w:rPr>
          <w:rFonts w:ascii="ＭＳ 明朝" w:hAnsi="ＭＳ 明朝" w:hint="eastAsia"/>
        </w:rPr>
        <w:t>ている</w:t>
      </w:r>
      <w:r w:rsidR="00BB7A55" w:rsidRPr="00213DEC">
        <w:rPr>
          <w:rFonts w:ascii="ＭＳ 明朝" w:hAnsi="ＭＳ 明朝" w:hint="eastAsia"/>
        </w:rPr>
        <w:t>。</w:t>
      </w:r>
      <w:r w:rsidR="00D05AD2" w:rsidRPr="00213DEC">
        <w:rPr>
          <w:rFonts w:ascii="ＭＳ 明朝" w:hAnsi="ＭＳ 明朝" w:hint="eastAsia"/>
        </w:rPr>
        <w:t>また、</w:t>
      </w:r>
      <w:r w:rsidR="00BB7A55" w:rsidRPr="00213DEC">
        <w:rPr>
          <w:rFonts w:ascii="ＭＳ 明朝" w:hAnsi="ＭＳ 明朝" w:hint="eastAsia"/>
        </w:rPr>
        <w:t>センシティブ情報（要配慮個人情報）の取扱いに本人の同意を要求し</w:t>
      </w:r>
      <w:r w:rsidR="002C01EE" w:rsidRPr="00213DEC">
        <w:rPr>
          <w:rFonts w:ascii="ＭＳ 明朝" w:hAnsi="ＭＳ 明朝" w:hint="eastAsia"/>
        </w:rPr>
        <w:t>（2条3項・17条2項・23条2項）</w:t>
      </w:r>
      <w:r w:rsidR="00BB7A55" w:rsidRPr="00213DEC">
        <w:rPr>
          <w:rFonts w:ascii="ＭＳ 明朝" w:hAnsi="ＭＳ 明朝" w:hint="eastAsia"/>
        </w:rPr>
        <w:t>、オプトアウト方式</w:t>
      </w:r>
      <w:r w:rsidR="000C59ED">
        <w:rPr>
          <w:rFonts w:ascii="ＭＳ 明朝" w:hAnsi="ＭＳ 明朝" w:hint="eastAsia"/>
        </w:rPr>
        <w:t>（</w:t>
      </w:r>
      <w:r w:rsidR="000C59ED" w:rsidRPr="000C59ED">
        <w:rPr>
          <w:rFonts w:ascii="ＭＳ 明朝" w:hAnsi="ＭＳ 明朝" w:hint="eastAsia"/>
        </w:rPr>
        <w:t>本人が個人データの第三者提供を停止するよう求められる機会を設けた上で、本人の同意を得ることなく個人データを第三者に提供すること</w:t>
      </w:r>
      <w:r w:rsidR="000C59ED">
        <w:rPr>
          <w:rFonts w:ascii="ＭＳ 明朝" w:hAnsi="ＭＳ 明朝" w:hint="eastAsia"/>
        </w:rPr>
        <w:t>）</w:t>
      </w:r>
      <w:r w:rsidR="00BB7A55" w:rsidRPr="00213DEC">
        <w:rPr>
          <w:rFonts w:ascii="ＭＳ 明朝" w:hAnsi="ＭＳ 明朝" w:hint="eastAsia"/>
        </w:rPr>
        <w:t>の第三者提供に個人情報保護委員会への届出を義務づけ</w:t>
      </w:r>
      <w:r w:rsidR="002C01EE" w:rsidRPr="00213DEC">
        <w:rPr>
          <w:rFonts w:ascii="ＭＳ 明朝" w:hAnsi="ＭＳ 明朝" w:hint="eastAsia"/>
        </w:rPr>
        <w:t>（23条3項）</w:t>
      </w:r>
      <w:r w:rsidR="009B56C1" w:rsidRPr="00213DEC">
        <w:rPr>
          <w:rFonts w:ascii="ＭＳ 明朝" w:hAnsi="ＭＳ 明朝" w:hint="eastAsia"/>
        </w:rPr>
        <w:t>、小規模事業者も法の適用対象と</w:t>
      </w:r>
      <w:r w:rsidR="00D05AD2" w:rsidRPr="00213DEC">
        <w:rPr>
          <w:rFonts w:ascii="ＭＳ 明朝" w:hAnsi="ＭＳ 明朝" w:hint="eastAsia"/>
        </w:rPr>
        <w:t>した。さらには、「匿名加工情報」の定義を新設し（2条9項）、本人の同意なく目的外利用や第三者提供を可能とする枠組みを導入するなど（36条）</w:t>
      </w:r>
      <w:r w:rsidR="009B56C1" w:rsidRPr="00213DEC">
        <w:rPr>
          <w:rFonts w:ascii="ＭＳ 明朝" w:hAnsi="ＭＳ 明朝" w:hint="eastAsia"/>
        </w:rPr>
        <w:t>、実務的に</w:t>
      </w:r>
      <w:r w:rsidR="00BB7A55" w:rsidRPr="00213DEC">
        <w:rPr>
          <w:rFonts w:ascii="ＭＳ 明朝" w:hAnsi="ＭＳ 明朝" w:hint="eastAsia"/>
        </w:rPr>
        <w:t>重要な改正が</w:t>
      </w:r>
      <w:r w:rsidR="00D05AD2" w:rsidRPr="00213DEC">
        <w:rPr>
          <w:rFonts w:ascii="ＭＳ 明朝" w:hAnsi="ＭＳ 明朝" w:hint="eastAsia"/>
        </w:rPr>
        <w:t>施されて</w:t>
      </w:r>
      <w:r w:rsidR="00BB7A55" w:rsidRPr="00213DEC">
        <w:rPr>
          <w:rFonts w:ascii="ＭＳ 明朝" w:hAnsi="ＭＳ 明朝" w:hint="eastAsia"/>
        </w:rPr>
        <w:t>いる。</w:t>
      </w:r>
    </w:p>
    <w:p w:rsidR="00DD3027" w:rsidRPr="00213DEC" w:rsidRDefault="00D05AD2" w:rsidP="00DD3027">
      <w:pPr>
        <w:ind w:leftChars="150" w:left="315" w:firstLineChars="100" w:firstLine="210"/>
        <w:rPr>
          <w:rFonts w:ascii="ＭＳ 明朝" w:hAnsi="ＭＳ 明朝" w:hint="eastAsia"/>
        </w:rPr>
      </w:pPr>
      <w:r w:rsidRPr="00213DEC">
        <w:rPr>
          <w:rFonts w:ascii="ＭＳ 明朝" w:hAnsi="ＭＳ 明朝" w:hint="eastAsia"/>
        </w:rPr>
        <w:t>国内法に加えて、</w:t>
      </w:r>
      <w:r w:rsidR="00DD3027" w:rsidRPr="00213DEC">
        <w:rPr>
          <w:rFonts w:ascii="ＭＳ 明朝" w:hAnsi="ＭＳ 明朝" w:hint="eastAsia"/>
        </w:rPr>
        <w:t>2018</w:t>
      </w:r>
      <w:r w:rsidR="00A448A8" w:rsidRPr="000A6712">
        <w:rPr>
          <w:rFonts w:ascii="ＭＳ 明朝" w:hAnsi="ＭＳ 明朝" w:hint="eastAsia"/>
        </w:rPr>
        <w:t>（平成30）</w:t>
      </w:r>
      <w:r w:rsidR="00DD3027" w:rsidRPr="00213DEC">
        <w:rPr>
          <w:rFonts w:ascii="ＭＳ 明朝" w:hAnsi="ＭＳ 明朝" w:hint="eastAsia"/>
        </w:rPr>
        <w:t>年5月25日からは、EU一般データ保護規則（General Data Protection Regulation：GDPR）が施行されている。GDPRによれば、個人データを処理するにあたり、企業は管理者として、①適切な安全管理措置、②目的達成に必要</w:t>
      </w:r>
      <w:r w:rsidR="00A448A8" w:rsidRPr="000A6712">
        <w:rPr>
          <w:rFonts w:ascii="ＭＳ 明朝" w:hAnsi="ＭＳ 明朝" w:hint="eastAsia"/>
        </w:rPr>
        <w:t>な</w:t>
      </w:r>
      <w:r w:rsidR="00DD3027" w:rsidRPr="00213DEC">
        <w:rPr>
          <w:rFonts w:ascii="ＭＳ 明朝" w:hAnsi="ＭＳ 明朝" w:hint="eastAsia"/>
        </w:rPr>
        <w:t>期間を超えた個人データの保持禁止、③情報漏えい発生72時間以内の監督</w:t>
      </w:r>
      <w:r w:rsidR="00A448A8" w:rsidRPr="000A6712">
        <w:rPr>
          <w:rFonts w:ascii="ＭＳ 明朝" w:hAnsi="ＭＳ 明朝" w:hint="eastAsia"/>
        </w:rPr>
        <w:t>機関</w:t>
      </w:r>
      <w:r w:rsidR="00DD3027" w:rsidRPr="00213DEC">
        <w:rPr>
          <w:rFonts w:ascii="ＭＳ 明朝" w:hAnsi="ＭＳ 明朝" w:hint="eastAsia"/>
        </w:rPr>
        <w:t>に対する通知等の規制事項を順守しなければならない。また、EU域外への個人データの移転は原則禁止され、拘束的企業準則の策定や標準契約条項の締結等、一定の要件を満たす必要がある。したがって、我が国企業としても、GDPR施行に伴い、その対応を推進していくことが重要かつ喫緊の課題となっている。</w:t>
      </w:r>
    </w:p>
    <w:p w:rsidR="00BB7A55" w:rsidRPr="00213DEC" w:rsidRDefault="00BB7A55" w:rsidP="00BB7A55">
      <w:pPr>
        <w:rPr>
          <w:rFonts w:ascii="ＭＳ 明朝" w:hAnsi="ＭＳ 明朝" w:hint="eastAsia"/>
          <w:b/>
          <w:sz w:val="24"/>
          <w:szCs w:val="24"/>
        </w:rPr>
      </w:pPr>
      <w:r w:rsidRPr="00213DEC">
        <w:rPr>
          <w:rFonts w:ascii="ＭＳ 明朝" w:hAnsi="ＭＳ 明朝" w:hint="eastAsia"/>
          <w:b/>
          <w:sz w:val="24"/>
          <w:szCs w:val="24"/>
        </w:rPr>
        <w:t>（２）改正法の実務課題</w:t>
      </w:r>
    </w:p>
    <w:p w:rsidR="00775A0D" w:rsidRPr="00213DEC" w:rsidRDefault="00BB7A55" w:rsidP="002C01EE">
      <w:pPr>
        <w:ind w:leftChars="150" w:left="315" w:firstLineChars="100" w:firstLine="210"/>
        <w:rPr>
          <w:rFonts w:ascii="ＭＳ 明朝" w:hAnsi="ＭＳ 明朝" w:hint="eastAsia"/>
          <w:color w:val="000000"/>
        </w:rPr>
      </w:pPr>
      <w:r w:rsidRPr="00213DEC">
        <w:rPr>
          <w:rFonts w:ascii="ＭＳ 明朝" w:hAnsi="ＭＳ 明朝" w:hint="eastAsia"/>
          <w:color w:val="000000"/>
        </w:rPr>
        <w:t>端末識別ID、位置情報、画像情報、SNSでの書き込みなど、他の情報と組み合わせて個人を特定できる</w:t>
      </w:r>
      <w:r w:rsidR="00775A0D" w:rsidRPr="00213DEC">
        <w:rPr>
          <w:rFonts w:ascii="ＭＳ 明朝" w:hAnsi="ＭＳ 明朝" w:hint="eastAsia"/>
          <w:color w:val="000000"/>
        </w:rPr>
        <w:t>「</w:t>
      </w:r>
      <w:r w:rsidRPr="00213DEC">
        <w:rPr>
          <w:rFonts w:ascii="ＭＳ 明朝" w:hAnsi="ＭＳ 明朝" w:hint="eastAsia"/>
          <w:color w:val="000000"/>
        </w:rPr>
        <w:t>グレーゾーン情報</w:t>
      </w:r>
      <w:r w:rsidR="00775A0D" w:rsidRPr="00213DEC">
        <w:rPr>
          <w:rFonts w:ascii="ＭＳ 明朝" w:hAnsi="ＭＳ 明朝" w:hint="eastAsia"/>
          <w:color w:val="000000"/>
        </w:rPr>
        <w:t>」の増加には実務的に</w:t>
      </w:r>
      <w:r w:rsidRPr="00213DEC">
        <w:rPr>
          <w:rFonts w:ascii="ＭＳ 明朝" w:hAnsi="ＭＳ 明朝" w:hint="eastAsia"/>
          <w:color w:val="000000"/>
        </w:rPr>
        <w:t>注意が必要であ</w:t>
      </w:r>
      <w:r w:rsidR="00775A0D" w:rsidRPr="00213DEC">
        <w:rPr>
          <w:rFonts w:ascii="ＭＳ 明朝" w:hAnsi="ＭＳ 明朝" w:hint="eastAsia"/>
          <w:color w:val="000000"/>
        </w:rPr>
        <w:t>る。</w:t>
      </w:r>
      <w:r w:rsidR="009B56C1" w:rsidRPr="00213DEC">
        <w:rPr>
          <w:rFonts w:ascii="ＭＳ 明朝" w:hAnsi="ＭＳ 明朝" w:hint="eastAsia"/>
          <w:color w:val="000000"/>
        </w:rPr>
        <w:t>個人情報保護委員会のガイドラインによれば、</w:t>
      </w:r>
      <w:r w:rsidR="00775A0D" w:rsidRPr="00213DEC">
        <w:rPr>
          <w:rFonts w:ascii="ＭＳ 明朝" w:hAnsi="ＭＳ 明朝" w:hint="eastAsia"/>
          <w:color w:val="000000"/>
        </w:rPr>
        <w:t>統計情報が個人情報にも匿名加工情報にも該当しないとされるが、どこまで匿名化すれば本人</w:t>
      </w:r>
      <w:r w:rsidR="00494539" w:rsidRPr="00213DEC">
        <w:rPr>
          <w:rFonts w:ascii="ＭＳ 明朝" w:hAnsi="ＭＳ 明朝" w:hint="eastAsia"/>
          <w:color w:val="000000"/>
        </w:rPr>
        <w:t>の</w:t>
      </w:r>
      <w:r w:rsidR="00775A0D" w:rsidRPr="00213DEC">
        <w:rPr>
          <w:rFonts w:ascii="ＭＳ 明朝" w:hAnsi="ＭＳ 明朝" w:hint="eastAsia"/>
          <w:color w:val="000000"/>
        </w:rPr>
        <w:t>同意を得ずに外部提供できるのか</w:t>
      </w:r>
      <w:r w:rsidR="00494539" w:rsidRPr="00213DEC">
        <w:rPr>
          <w:rFonts w:ascii="ＭＳ 明朝" w:hAnsi="ＭＳ 明朝" w:hint="eastAsia"/>
          <w:color w:val="000000"/>
        </w:rPr>
        <w:t>が</w:t>
      </w:r>
      <w:r w:rsidR="00775A0D" w:rsidRPr="00213DEC">
        <w:rPr>
          <w:rFonts w:ascii="ＭＳ 明朝" w:hAnsi="ＭＳ 明朝" w:hint="eastAsia"/>
          <w:color w:val="000000"/>
        </w:rPr>
        <w:t>判然としない</w:t>
      </w:r>
      <w:r w:rsidR="002849EF" w:rsidRPr="00213DEC">
        <w:rPr>
          <w:rFonts w:ascii="ＭＳ 明朝" w:hAnsi="ＭＳ 明朝" w:hint="eastAsia"/>
          <w:color w:val="000000"/>
        </w:rPr>
        <w:t>面がある</w:t>
      </w:r>
      <w:r w:rsidR="00775A0D" w:rsidRPr="00213DEC">
        <w:rPr>
          <w:rFonts w:ascii="ＭＳ 明朝" w:hAnsi="ＭＳ 明朝" w:hint="eastAsia"/>
          <w:color w:val="000000"/>
        </w:rPr>
        <w:t>。</w:t>
      </w:r>
    </w:p>
    <w:p w:rsidR="002C01EE" w:rsidRPr="00213DEC" w:rsidRDefault="009B56C1" w:rsidP="002C01EE">
      <w:pPr>
        <w:ind w:leftChars="150" w:left="315" w:firstLineChars="100" w:firstLine="210"/>
        <w:rPr>
          <w:rFonts w:ascii="ＭＳ 明朝" w:hAnsi="ＭＳ 明朝" w:hint="eastAsia"/>
          <w:color w:val="000000"/>
        </w:rPr>
      </w:pPr>
      <w:r w:rsidRPr="00213DEC">
        <w:rPr>
          <w:rFonts w:ascii="ＭＳ 明朝" w:hAnsi="ＭＳ 明朝" w:hint="eastAsia"/>
          <w:color w:val="000000"/>
        </w:rPr>
        <w:t>また、改正法では、外国にある第三者に個人データを提供する場合、原則として本人の事前同意を要求するが</w:t>
      </w:r>
      <w:r w:rsidR="002C01EE" w:rsidRPr="00213DEC">
        <w:rPr>
          <w:rFonts w:ascii="ＭＳ 明朝" w:hAnsi="ＭＳ 明朝" w:hint="eastAsia"/>
          <w:color w:val="000000"/>
        </w:rPr>
        <w:t>（24条）</w:t>
      </w:r>
      <w:r w:rsidRPr="00213DEC">
        <w:rPr>
          <w:rFonts w:ascii="ＭＳ 明朝" w:hAnsi="ＭＳ 明朝" w:hint="eastAsia"/>
          <w:color w:val="000000"/>
        </w:rPr>
        <w:t>、経済のグローバル化に伴い、他国への情報移転に一律の規制を課すことは、事業者の業務上の支障やサービスの大幅な低下につながりかねない。</w:t>
      </w:r>
      <w:r w:rsidR="002C01EE" w:rsidRPr="00213DEC">
        <w:rPr>
          <w:rFonts w:ascii="ＭＳ 明朝" w:hAnsi="ＭＳ 明朝" w:hint="eastAsia"/>
          <w:color w:val="000000"/>
        </w:rPr>
        <w:t>さらには、訴訟による保有個人データの開示請求を明文で認めたが（34条1項）、この</w:t>
      </w:r>
      <w:r w:rsidR="00494539" w:rsidRPr="00213DEC">
        <w:rPr>
          <w:rFonts w:ascii="ＭＳ 明朝" w:hAnsi="ＭＳ 明朝" w:hint="eastAsia"/>
          <w:color w:val="000000"/>
        </w:rPr>
        <w:t>ことにより、事業者側の自主解決の努力に水を指すことにならないかも</w:t>
      </w:r>
      <w:r w:rsidR="002C01EE" w:rsidRPr="00213DEC">
        <w:rPr>
          <w:rFonts w:ascii="ＭＳ 明朝" w:hAnsi="ＭＳ 明朝" w:hint="eastAsia"/>
          <w:color w:val="000000"/>
        </w:rPr>
        <w:t>懸念される（35条参照）。</w:t>
      </w:r>
    </w:p>
    <w:p w:rsidR="00B123FD" w:rsidRPr="00213DEC" w:rsidRDefault="00B123FD" w:rsidP="002C01EE">
      <w:pPr>
        <w:ind w:leftChars="150" w:left="315" w:firstLineChars="100" w:firstLine="210"/>
        <w:rPr>
          <w:rFonts w:ascii="ＭＳ 明朝" w:hAnsi="ＭＳ 明朝" w:hint="eastAsia"/>
          <w:color w:val="000000"/>
        </w:rPr>
      </w:pPr>
      <w:r w:rsidRPr="00213DEC">
        <w:rPr>
          <w:rFonts w:ascii="ＭＳ 明朝" w:hAnsi="ＭＳ 明朝" w:hint="eastAsia"/>
          <w:color w:val="000000"/>
        </w:rPr>
        <w:t>改正法には、そのほかにも実務的な課題が多い。</w:t>
      </w:r>
    </w:p>
    <w:p w:rsidR="008C7DA4" w:rsidRPr="00213DEC" w:rsidRDefault="00775A0D" w:rsidP="008C7DA4">
      <w:pPr>
        <w:rPr>
          <w:rFonts w:ascii="ＭＳ 明朝" w:hAnsi="ＭＳ 明朝" w:hint="eastAsia"/>
          <w:b/>
          <w:sz w:val="24"/>
          <w:szCs w:val="24"/>
        </w:rPr>
      </w:pPr>
      <w:r w:rsidRPr="00213DEC">
        <w:rPr>
          <w:rFonts w:ascii="ＭＳ 明朝" w:hAnsi="ＭＳ 明朝" w:hint="eastAsia"/>
          <w:b/>
          <w:sz w:val="24"/>
          <w:szCs w:val="24"/>
        </w:rPr>
        <w:t>（３</w:t>
      </w:r>
      <w:r w:rsidR="005E4FA1" w:rsidRPr="00213DEC">
        <w:rPr>
          <w:rFonts w:ascii="ＭＳ 明朝" w:hAnsi="ＭＳ 明朝" w:hint="eastAsia"/>
          <w:b/>
          <w:sz w:val="24"/>
          <w:szCs w:val="24"/>
        </w:rPr>
        <w:t>）</w:t>
      </w:r>
      <w:r w:rsidRPr="00213DEC">
        <w:rPr>
          <w:rFonts w:ascii="ＭＳ 明朝" w:hAnsi="ＭＳ 明朝" w:hint="eastAsia"/>
          <w:b/>
          <w:sz w:val="24"/>
          <w:szCs w:val="24"/>
        </w:rPr>
        <w:t>ビッグデータとプライバシー</w:t>
      </w:r>
    </w:p>
    <w:p w:rsidR="00775A0D" w:rsidRPr="00213DEC" w:rsidRDefault="00775A0D" w:rsidP="00775A0D">
      <w:pPr>
        <w:ind w:leftChars="150" w:left="315" w:firstLineChars="100" w:firstLine="210"/>
        <w:rPr>
          <w:rFonts w:ascii="ＭＳ 明朝" w:hAnsi="ＭＳ 明朝" w:hint="eastAsia"/>
          <w:color w:val="000000"/>
        </w:rPr>
      </w:pPr>
      <w:r w:rsidRPr="00213DEC">
        <w:rPr>
          <w:rFonts w:ascii="ＭＳ 明朝" w:hAnsi="ＭＳ 明朝" w:hint="eastAsia"/>
          <w:color w:val="000000"/>
        </w:rPr>
        <w:t>最近のスマートフォンやSNSの普及により、ビッグデータのビジネス利用のプライバシー侵害や悪評などのリスクが顕在化しつつある。</w:t>
      </w:r>
      <w:r w:rsidR="00B123FD" w:rsidRPr="00213DEC">
        <w:rPr>
          <w:rFonts w:ascii="ＭＳ 明朝" w:hAnsi="ＭＳ 明朝" w:hint="eastAsia"/>
          <w:color w:val="000000"/>
        </w:rPr>
        <w:t>特に匿名加工情報の法制化に伴い、ビックデータとプ</w:t>
      </w:r>
      <w:bookmarkStart w:id="0" w:name="_GoBack"/>
      <w:bookmarkEnd w:id="0"/>
      <w:r w:rsidR="00B123FD" w:rsidRPr="00213DEC">
        <w:rPr>
          <w:rFonts w:ascii="ＭＳ 明朝" w:hAnsi="ＭＳ 明朝" w:hint="eastAsia"/>
          <w:color w:val="000000"/>
        </w:rPr>
        <w:lastRenderedPageBreak/>
        <w:t>ライバシーとの関係が重要な課題となっている。</w:t>
      </w:r>
    </w:p>
    <w:p w:rsidR="00B123FD" w:rsidRPr="00213DEC" w:rsidRDefault="00B123FD" w:rsidP="00775A0D">
      <w:pPr>
        <w:ind w:leftChars="150" w:left="315" w:firstLineChars="100" w:firstLine="210"/>
        <w:rPr>
          <w:rFonts w:ascii="ＭＳ 明朝" w:hAnsi="ＭＳ 明朝" w:hint="eastAsia"/>
          <w:color w:val="000000"/>
        </w:rPr>
      </w:pPr>
      <w:r w:rsidRPr="00213DEC">
        <w:rPr>
          <w:rFonts w:ascii="ＭＳ 明朝" w:hAnsi="ＭＳ 明朝" w:hint="eastAsia"/>
          <w:color w:val="000000"/>
        </w:rPr>
        <w:t>この点、現代的なプライバシー侵害事案では、当該個人の感受性ではなく、「一般人の感受性」を基準としている（最判平成15年9月12日判時1837号3頁「早稲田大学講演会名簿提出事件」）。また、受忍限度を超える場合にだけ、プライバシー侵害が認定される傾向にある（福岡高判平成24年7月13</w:t>
      </w:r>
      <w:r w:rsidR="00785DDC" w:rsidRPr="00213DEC">
        <w:rPr>
          <w:rFonts w:ascii="ＭＳ 明朝" w:hAnsi="ＭＳ 明朝" w:hint="eastAsia"/>
          <w:color w:val="000000"/>
        </w:rPr>
        <w:t>日判例集未登載</w:t>
      </w:r>
      <w:r w:rsidRPr="00213DEC">
        <w:rPr>
          <w:rFonts w:ascii="ＭＳ 明朝" w:hAnsi="ＭＳ 明朝" w:hint="eastAsia"/>
          <w:color w:val="000000"/>
        </w:rPr>
        <w:t>「ストリートビュー事件」）。</w:t>
      </w:r>
    </w:p>
    <w:p w:rsidR="00B123FD" w:rsidRPr="00213DEC" w:rsidRDefault="00B123FD" w:rsidP="00775A0D">
      <w:pPr>
        <w:ind w:leftChars="150" w:left="315" w:firstLineChars="100" w:firstLine="210"/>
        <w:rPr>
          <w:rFonts w:ascii="ＭＳ 明朝" w:hAnsi="ＭＳ 明朝" w:hint="eastAsia"/>
          <w:color w:val="000000"/>
        </w:rPr>
      </w:pPr>
      <w:r w:rsidRPr="00213DEC">
        <w:rPr>
          <w:rFonts w:ascii="ＭＳ 明朝" w:hAnsi="ＭＳ 明朝" w:hint="eastAsia"/>
          <w:color w:val="000000"/>
        </w:rPr>
        <w:t>したがって、事業者の側においても、受忍限度を引き上げるためには、できる限り情報の利用目的・使用状況・利便性等の説明をし、情報主体である本人の納得感を得る</w:t>
      </w:r>
      <w:r w:rsidR="00785DDC" w:rsidRPr="00213DEC">
        <w:rPr>
          <w:rFonts w:ascii="ＭＳ 明朝" w:hAnsi="ＭＳ 明朝" w:hint="eastAsia"/>
          <w:color w:val="000000"/>
        </w:rPr>
        <w:t>よう</w:t>
      </w:r>
      <w:r w:rsidRPr="00213DEC">
        <w:rPr>
          <w:rFonts w:ascii="ＭＳ 明朝" w:hAnsi="ＭＳ 明朝" w:hint="eastAsia"/>
          <w:color w:val="000000"/>
        </w:rPr>
        <w:t>努力</w:t>
      </w:r>
      <w:r w:rsidR="00785DDC" w:rsidRPr="00213DEC">
        <w:rPr>
          <w:rFonts w:ascii="ＭＳ 明朝" w:hAnsi="ＭＳ 明朝" w:hint="eastAsia"/>
          <w:color w:val="000000"/>
        </w:rPr>
        <w:t>すべき</w:t>
      </w:r>
      <w:r w:rsidRPr="00213DEC">
        <w:rPr>
          <w:rFonts w:ascii="ＭＳ 明朝" w:hAnsi="ＭＳ 明朝" w:hint="eastAsia"/>
          <w:color w:val="000000"/>
        </w:rPr>
        <w:t>であろう。</w:t>
      </w:r>
      <w:r w:rsidR="000C59ED" w:rsidRPr="000C59ED">
        <w:rPr>
          <w:rFonts w:ascii="ＭＳ 明朝" w:hAnsi="ＭＳ 明朝" w:hint="eastAsia"/>
          <w:color w:val="000000"/>
        </w:rPr>
        <w:t>本人の納得感を得られるならば、受忍の許容範囲も拡大するからである。</w:t>
      </w:r>
    </w:p>
    <w:p w:rsidR="00D111EB" w:rsidRPr="00213DEC" w:rsidRDefault="00B123FD" w:rsidP="000D0F65">
      <w:pPr>
        <w:rPr>
          <w:rFonts w:ascii="ＭＳ 明朝" w:hAnsi="ＭＳ 明朝" w:hint="eastAsia"/>
          <w:b/>
          <w:sz w:val="24"/>
          <w:szCs w:val="24"/>
        </w:rPr>
      </w:pPr>
      <w:r w:rsidRPr="00213DEC">
        <w:rPr>
          <w:rFonts w:ascii="ＭＳ 明朝" w:hAnsi="ＭＳ 明朝" w:hint="eastAsia"/>
          <w:b/>
          <w:sz w:val="24"/>
          <w:szCs w:val="24"/>
        </w:rPr>
        <w:t>（４</w:t>
      </w:r>
      <w:r w:rsidR="005E4FA1" w:rsidRPr="00213DEC">
        <w:rPr>
          <w:rFonts w:ascii="ＭＳ 明朝" w:hAnsi="ＭＳ 明朝" w:hint="eastAsia"/>
          <w:b/>
          <w:sz w:val="24"/>
          <w:szCs w:val="24"/>
        </w:rPr>
        <w:t>）</w:t>
      </w:r>
      <w:r w:rsidR="000D0F65" w:rsidRPr="00213DEC">
        <w:rPr>
          <w:rFonts w:ascii="ＭＳ 明朝" w:hAnsi="ＭＳ 明朝" w:hint="eastAsia"/>
          <w:b/>
          <w:sz w:val="24"/>
          <w:szCs w:val="24"/>
        </w:rPr>
        <w:t>われわれ弁護士はどう行動すべきか</w:t>
      </w:r>
    </w:p>
    <w:p w:rsidR="00D05AD2" w:rsidRPr="00213DEC" w:rsidRDefault="002849EF" w:rsidP="00D05AD2">
      <w:pPr>
        <w:ind w:leftChars="150" w:left="315" w:firstLineChars="100" w:firstLine="210"/>
        <w:rPr>
          <w:rFonts w:ascii="ＭＳ 明朝" w:hAnsi="ＭＳ 明朝" w:hint="eastAsia"/>
          <w:color w:val="000000"/>
        </w:rPr>
      </w:pPr>
      <w:r w:rsidRPr="00213DEC">
        <w:rPr>
          <w:rFonts w:ascii="ＭＳ 明朝" w:hAnsi="ＭＳ 明朝" w:hint="eastAsia"/>
          <w:color w:val="000000"/>
        </w:rPr>
        <w:t>改正個人情報保護法では、</w:t>
      </w:r>
      <w:r w:rsidR="0000331B" w:rsidRPr="00213DEC">
        <w:rPr>
          <w:rFonts w:ascii="ＭＳ 明朝" w:hAnsi="ＭＳ 明朝" w:hint="eastAsia"/>
          <w:color w:val="000000"/>
        </w:rPr>
        <w:t>これまで適用対象ではなかった小</w:t>
      </w:r>
      <w:r w:rsidRPr="00213DEC">
        <w:rPr>
          <w:rFonts w:ascii="ＭＳ 明朝" w:hAnsi="ＭＳ 明朝" w:hint="eastAsia"/>
          <w:color w:val="000000"/>
        </w:rPr>
        <w:t>規模事業者も、改正法では「個人情報取扱事業者」として</w:t>
      </w:r>
      <w:r w:rsidR="00D05AD2" w:rsidRPr="00213DEC">
        <w:rPr>
          <w:rFonts w:ascii="ＭＳ 明朝" w:hAnsi="ＭＳ 明朝" w:hint="eastAsia"/>
          <w:color w:val="000000"/>
        </w:rPr>
        <w:t>規制の</w:t>
      </w:r>
      <w:r w:rsidRPr="00213DEC">
        <w:rPr>
          <w:rFonts w:ascii="ＭＳ 明朝" w:hAnsi="ＭＳ 明朝" w:hint="eastAsia"/>
          <w:color w:val="000000"/>
        </w:rPr>
        <w:t>対象となるから、</w:t>
      </w:r>
      <w:r w:rsidR="00785DDC" w:rsidRPr="00213DEC">
        <w:rPr>
          <w:rFonts w:ascii="ＭＳ 明朝" w:hAnsi="ＭＳ 明朝" w:hint="eastAsia"/>
          <w:color w:val="000000"/>
        </w:rPr>
        <w:t>われわれに対する</w:t>
      </w:r>
      <w:r w:rsidR="0000331B" w:rsidRPr="00213DEC">
        <w:rPr>
          <w:rFonts w:ascii="ＭＳ 明朝" w:hAnsi="ＭＳ 明朝" w:hint="eastAsia"/>
          <w:color w:val="000000"/>
        </w:rPr>
        <w:t>個人情報に</w:t>
      </w:r>
      <w:r w:rsidR="00785DDC" w:rsidRPr="00213DEC">
        <w:rPr>
          <w:rFonts w:ascii="ＭＳ 明朝" w:hAnsi="ＭＳ 明朝" w:hint="eastAsia"/>
          <w:color w:val="000000"/>
        </w:rPr>
        <w:t>ついての</w:t>
      </w:r>
      <w:r w:rsidR="0000331B" w:rsidRPr="00213DEC">
        <w:rPr>
          <w:rFonts w:ascii="ＭＳ 明朝" w:hAnsi="ＭＳ 明朝" w:hint="eastAsia"/>
          <w:color w:val="000000"/>
        </w:rPr>
        <w:t>法律相談の件数・頻度は格段に増加</w:t>
      </w:r>
      <w:r w:rsidRPr="00213DEC">
        <w:rPr>
          <w:rFonts w:ascii="ＭＳ 明朝" w:hAnsi="ＭＳ 明朝" w:hint="eastAsia"/>
          <w:color w:val="000000"/>
        </w:rPr>
        <w:t>している</w:t>
      </w:r>
      <w:r w:rsidR="0000331B" w:rsidRPr="00213DEC">
        <w:rPr>
          <w:rFonts w:ascii="ＭＳ 明朝" w:hAnsi="ＭＳ 明朝" w:hint="eastAsia"/>
          <w:color w:val="000000"/>
        </w:rPr>
        <w:t>。</w:t>
      </w:r>
    </w:p>
    <w:p w:rsidR="0000331B" w:rsidRPr="00213DEC" w:rsidRDefault="00D05AD2" w:rsidP="00D05AD2">
      <w:pPr>
        <w:ind w:leftChars="150" w:left="315" w:firstLineChars="100" w:firstLine="210"/>
        <w:rPr>
          <w:rFonts w:ascii="ＭＳ 明朝" w:hAnsi="ＭＳ 明朝" w:hint="eastAsia"/>
          <w:color w:val="000000"/>
        </w:rPr>
      </w:pPr>
      <w:r w:rsidRPr="00213DEC">
        <w:rPr>
          <w:rFonts w:ascii="ＭＳ 明朝" w:hAnsi="ＭＳ 明朝" w:hint="eastAsia"/>
          <w:color w:val="000000"/>
        </w:rPr>
        <w:t>また、</w:t>
      </w:r>
      <w:r w:rsidR="0000331B" w:rsidRPr="00213DEC">
        <w:rPr>
          <w:rFonts w:ascii="ＭＳ 明朝" w:hAnsi="ＭＳ 明朝" w:hint="eastAsia"/>
          <w:color w:val="000000"/>
        </w:rPr>
        <w:t>第三者提供</w:t>
      </w:r>
      <w:r w:rsidR="006535BB" w:rsidRPr="00213DEC">
        <w:rPr>
          <w:rFonts w:ascii="ＭＳ 明朝" w:hAnsi="ＭＳ 明朝" w:hint="eastAsia"/>
          <w:color w:val="000000"/>
        </w:rPr>
        <w:t>の</w:t>
      </w:r>
      <w:r w:rsidR="00DE78DB" w:rsidRPr="00213DEC">
        <w:rPr>
          <w:rFonts w:ascii="ＭＳ 明朝" w:hAnsi="ＭＳ 明朝" w:hint="eastAsia"/>
          <w:color w:val="000000"/>
        </w:rPr>
        <w:t>規制に</w:t>
      </w:r>
      <w:r w:rsidR="002849EF" w:rsidRPr="00213DEC">
        <w:rPr>
          <w:rFonts w:ascii="ＭＳ 明朝" w:hAnsi="ＭＳ 明朝" w:hint="eastAsia"/>
          <w:color w:val="000000"/>
        </w:rPr>
        <w:t>関しては、大きく改正され</w:t>
      </w:r>
      <w:r w:rsidRPr="00213DEC">
        <w:rPr>
          <w:rFonts w:ascii="ＭＳ 明朝" w:hAnsi="ＭＳ 明朝" w:hint="eastAsia"/>
          <w:color w:val="000000"/>
        </w:rPr>
        <w:t>た</w:t>
      </w:r>
      <w:r w:rsidR="006535BB" w:rsidRPr="00213DEC">
        <w:rPr>
          <w:rFonts w:ascii="ＭＳ 明朝" w:hAnsi="ＭＳ 明朝" w:hint="eastAsia"/>
          <w:color w:val="000000"/>
        </w:rPr>
        <w:t>。実務</w:t>
      </w:r>
      <w:r w:rsidR="0000331B" w:rsidRPr="00213DEC">
        <w:rPr>
          <w:rFonts w:ascii="ＭＳ 明朝" w:hAnsi="ＭＳ 明朝" w:hint="eastAsia"/>
          <w:color w:val="000000"/>
        </w:rPr>
        <w:t>への影響として注意すべきは、記録</w:t>
      </w:r>
      <w:r w:rsidR="00DE78DB" w:rsidRPr="00213DEC">
        <w:rPr>
          <w:rFonts w:ascii="ＭＳ 明朝" w:hAnsi="ＭＳ 明朝" w:hint="eastAsia"/>
          <w:color w:val="000000"/>
        </w:rPr>
        <w:t>作成義務（</w:t>
      </w:r>
      <w:r w:rsidR="0000331B" w:rsidRPr="00213DEC">
        <w:rPr>
          <w:rFonts w:ascii="ＭＳ 明朝" w:hAnsi="ＭＳ 明朝" w:hint="eastAsia"/>
          <w:color w:val="000000"/>
        </w:rPr>
        <w:t>25条）、提供を受ける際の確認・</w:t>
      </w:r>
      <w:r w:rsidR="00DE78DB" w:rsidRPr="00213DEC">
        <w:rPr>
          <w:rFonts w:ascii="ＭＳ 明朝" w:hAnsi="ＭＳ 明朝" w:hint="eastAsia"/>
          <w:color w:val="000000"/>
        </w:rPr>
        <w:t>記録義務（</w:t>
      </w:r>
      <w:r w:rsidR="0000331B" w:rsidRPr="00213DEC">
        <w:rPr>
          <w:rFonts w:ascii="ＭＳ 明朝" w:hAnsi="ＭＳ 明朝" w:hint="eastAsia"/>
          <w:color w:val="000000"/>
        </w:rPr>
        <w:t>26条）である。</w:t>
      </w:r>
      <w:r w:rsidR="00DE78DB" w:rsidRPr="00213DEC">
        <w:rPr>
          <w:rFonts w:ascii="ＭＳ 明朝" w:hAnsi="ＭＳ 明朝" w:hint="eastAsia"/>
          <w:color w:val="000000"/>
        </w:rPr>
        <w:t>また、</w:t>
      </w:r>
      <w:r w:rsidR="0000331B" w:rsidRPr="00213DEC">
        <w:rPr>
          <w:rFonts w:ascii="ＭＳ 明朝" w:hAnsi="ＭＳ 明朝" w:hint="eastAsia"/>
          <w:color w:val="000000"/>
        </w:rPr>
        <w:t>匿名加工情報</w:t>
      </w:r>
      <w:r w:rsidR="00DE78DB" w:rsidRPr="00213DEC">
        <w:rPr>
          <w:rFonts w:ascii="ＭＳ 明朝" w:hAnsi="ＭＳ 明朝" w:hint="eastAsia"/>
          <w:color w:val="000000"/>
        </w:rPr>
        <w:t>と個人情報の関係や「個人識別符号」（2条1項2号</w:t>
      </w:r>
      <w:r w:rsidR="006535BB" w:rsidRPr="00213DEC">
        <w:rPr>
          <w:rFonts w:ascii="ＭＳ 明朝" w:hAnsi="ＭＳ 明朝" w:hint="eastAsia"/>
          <w:color w:val="000000"/>
        </w:rPr>
        <w:t>）など、改正法の詳細内容には不明確な部分が残っているため、今後とも</w:t>
      </w:r>
      <w:r w:rsidR="00DE78DB" w:rsidRPr="00213DEC">
        <w:rPr>
          <w:rFonts w:ascii="ＭＳ 明朝" w:hAnsi="ＭＳ 明朝" w:hint="eastAsia"/>
          <w:color w:val="000000"/>
        </w:rPr>
        <w:t>具体的なルールづくりに注視</w:t>
      </w:r>
      <w:r w:rsidR="006535BB" w:rsidRPr="00213DEC">
        <w:rPr>
          <w:rFonts w:ascii="ＭＳ 明朝" w:hAnsi="ＭＳ 明朝" w:hint="eastAsia"/>
          <w:color w:val="000000"/>
        </w:rPr>
        <w:t>しなければならない</w:t>
      </w:r>
      <w:r w:rsidR="00DE78DB" w:rsidRPr="00213DEC">
        <w:rPr>
          <w:rFonts w:ascii="ＭＳ 明朝" w:hAnsi="ＭＳ 明朝" w:hint="eastAsia"/>
          <w:color w:val="000000"/>
        </w:rPr>
        <w:t>。</w:t>
      </w:r>
    </w:p>
    <w:p w:rsidR="0000331B" w:rsidRPr="00213DEC" w:rsidRDefault="00DE78DB" w:rsidP="004D38F4">
      <w:pPr>
        <w:ind w:leftChars="150" w:left="315" w:firstLineChars="100" w:firstLine="210"/>
        <w:rPr>
          <w:rFonts w:ascii="ＭＳ 明朝" w:hAnsi="ＭＳ 明朝" w:hint="eastAsia"/>
          <w:color w:val="000000"/>
        </w:rPr>
      </w:pPr>
      <w:r w:rsidRPr="00213DEC">
        <w:rPr>
          <w:rFonts w:ascii="ＭＳ 明朝" w:hAnsi="ＭＳ 明朝" w:hint="eastAsia"/>
          <w:color w:val="000000"/>
        </w:rPr>
        <w:t>開示請求権の具体的権利性の肯定により（34条1</w:t>
      </w:r>
      <w:r w:rsidR="006535BB" w:rsidRPr="00213DEC">
        <w:rPr>
          <w:rFonts w:ascii="ＭＳ 明朝" w:hAnsi="ＭＳ 明朝" w:hint="eastAsia"/>
          <w:color w:val="000000"/>
        </w:rPr>
        <w:t>項）、個人情報の保護が私法的に促進される一方、</w:t>
      </w:r>
      <w:r w:rsidRPr="00213DEC">
        <w:rPr>
          <w:rFonts w:ascii="ＭＳ 明朝" w:hAnsi="ＭＳ 明朝" w:hint="eastAsia"/>
          <w:color w:val="000000"/>
        </w:rPr>
        <w:t>悪質クレーマー等による濫用</w:t>
      </w:r>
      <w:r w:rsidR="006535BB" w:rsidRPr="00213DEC">
        <w:rPr>
          <w:rFonts w:ascii="ＭＳ 明朝" w:hAnsi="ＭＳ 明朝" w:hint="eastAsia"/>
          <w:color w:val="000000"/>
        </w:rPr>
        <w:t>的な</w:t>
      </w:r>
      <w:r w:rsidRPr="00213DEC">
        <w:rPr>
          <w:rFonts w:ascii="ＭＳ 明朝" w:hAnsi="ＭＳ 明朝" w:hint="eastAsia"/>
          <w:color w:val="000000"/>
        </w:rPr>
        <w:t>事例も懸念される。</w:t>
      </w:r>
      <w:r w:rsidR="006535BB" w:rsidRPr="00213DEC">
        <w:rPr>
          <w:rFonts w:ascii="ＭＳ 明朝" w:hAnsi="ＭＳ 明朝" w:hint="eastAsia"/>
          <w:color w:val="000000"/>
        </w:rPr>
        <w:t>個別具体的な事案に接した場合には、弁護士としての衡平感がより求められるであろう。</w:t>
      </w:r>
    </w:p>
    <w:p w:rsidR="009B56C1" w:rsidRDefault="00D05AD2" w:rsidP="000D0F65">
      <w:pPr>
        <w:tabs>
          <w:tab w:val="left" w:pos="2600"/>
        </w:tabs>
        <w:ind w:leftChars="150" w:left="315" w:firstLineChars="100" w:firstLine="210"/>
        <w:rPr>
          <w:rFonts w:hint="eastAsia"/>
        </w:rPr>
      </w:pPr>
      <w:r w:rsidRPr="00213DEC">
        <w:rPr>
          <w:rFonts w:ascii="ＭＳ 明朝" w:hAnsi="ＭＳ 明朝" w:hint="eastAsia"/>
        </w:rPr>
        <w:t>さらには、</w:t>
      </w:r>
      <w:r w:rsidR="00767EEA" w:rsidRPr="00213DEC">
        <w:rPr>
          <w:rFonts w:ascii="ＭＳ 明朝" w:hAnsi="ＭＳ 明朝" w:hint="eastAsia"/>
        </w:rPr>
        <w:t>EUデータ保護規則</w:t>
      </w:r>
      <w:r w:rsidR="002849EF" w:rsidRPr="00213DEC">
        <w:rPr>
          <w:rFonts w:ascii="ＭＳ 明朝" w:hAnsi="ＭＳ 明朝" w:hint="eastAsia"/>
        </w:rPr>
        <w:t>の施行に伴い、我が国企業としても、GDPR</w:t>
      </w:r>
      <w:r w:rsidR="002849EF" w:rsidRPr="002849EF">
        <w:rPr>
          <w:rFonts w:hint="eastAsia"/>
        </w:rPr>
        <w:t>施行に伴い、その対応を推進していくことが重要かつ喫緊の課題となっている。</w:t>
      </w:r>
    </w:p>
    <w:p w:rsidR="008C7DA4" w:rsidRPr="005B301E" w:rsidRDefault="006535BB" w:rsidP="005B301E">
      <w:pPr>
        <w:ind w:leftChars="150" w:left="315" w:firstLineChars="100" w:firstLine="210"/>
        <w:rPr>
          <w:rFonts w:hint="eastAsia"/>
          <w:color w:val="000000"/>
        </w:rPr>
      </w:pPr>
      <w:r>
        <w:rPr>
          <w:rFonts w:hint="eastAsia"/>
          <w:color w:val="000000"/>
        </w:rPr>
        <w:t>以上</w:t>
      </w:r>
      <w:r w:rsidR="004D38F4">
        <w:rPr>
          <w:rFonts w:hint="eastAsia"/>
          <w:color w:val="000000"/>
        </w:rPr>
        <w:t>の</w:t>
      </w:r>
      <w:r w:rsidR="000D0F65">
        <w:rPr>
          <w:rFonts w:hint="eastAsia"/>
          <w:color w:val="000000"/>
        </w:rPr>
        <w:t>状況を踏まえれば、</w:t>
      </w:r>
      <w:r w:rsidR="000D0F65">
        <w:rPr>
          <w:rFonts w:hint="eastAsia"/>
        </w:rPr>
        <w:t>個人情報の保護が問題となる場面がますます増えていくものと思われる。したがって、われわれ弁護士としては、これらの救済申立てや交渉について適切に対応していく必要があろう。</w:t>
      </w:r>
    </w:p>
    <w:sectPr w:rsidR="008C7DA4" w:rsidRPr="005B301E" w:rsidSect="008C7DA4">
      <w:footerReference w:type="even" r:id="rId6"/>
      <w:footerReference w:type="default" r:id="rId7"/>
      <w:pgSz w:w="11906" w:h="16838" w:code="9"/>
      <w:pgMar w:top="1418" w:right="1134" w:bottom="1134" w:left="1429" w:header="851" w:footer="992" w:gutter="0"/>
      <w:cols w:space="425"/>
      <w:titlePg/>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297" w:rsidRDefault="00217297">
      <w:r>
        <w:separator/>
      </w:r>
    </w:p>
  </w:endnote>
  <w:endnote w:type="continuationSeparator" w:id="0">
    <w:p w:rsidR="00217297" w:rsidRDefault="0021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D2" w:rsidRDefault="00D05AD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05AD2" w:rsidRDefault="00D05AD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D2" w:rsidRDefault="00D05AD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11BE4">
      <w:rPr>
        <w:rStyle w:val="a4"/>
        <w:noProof/>
      </w:rPr>
      <w:t>2</w:t>
    </w:r>
    <w:r>
      <w:rPr>
        <w:rStyle w:val="a4"/>
      </w:rPr>
      <w:fldChar w:fldCharType="end"/>
    </w:r>
  </w:p>
  <w:p w:rsidR="00D05AD2" w:rsidRDefault="00D05AD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297" w:rsidRDefault="00217297">
      <w:r>
        <w:separator/>
      </w:r>
    </w:p>
  </w:footnote>
  <w:footnote w:type="continuationSeparator" w:id="0">
    <w:p w:rsidR="00217297" w:rsidRDefault="00217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E9F"/>
    <w:rsid w:val="0000331B"/>
    <w:rsid w:val="00065864"/>
    <w:rsid w:val="000A6712"/>
    <w:rsid w:val="000C0BF4"/>
    <w:rsid w:val="000C59ED"/>
    <w:rsid w:val="000D0F65"/>
    <w:rsid w:val="000E777B"/>
    <w:rsid w:val="000F6B57"/>
    <w:rsid w:val="00111BE4"/>
    <w:rsid w:val="00121C48"/>
    <w:rsid w:val="00213DEC"/>
    <w:rsid w:val="00217297"/>
    <w:rsid w:val="002849EF"/>
    <w:rsid w:val="002C01EE"/>
    <w:rsid w:val="002C04FF"/>
    <w:rsid w:val="00324851"/>
    <w:rsid w:val="003536AF"/>
    <w:rsid w:val="004645B2"/>
    <w:rsid w:val="00494539"/>
    <w:rsid w:val="004B30F9"/>
    <w:rsid w:val="004D38F4"/>
    <w:rsid w:val="005B301E"/>
    <w:rsid w:val="005B7341"/>
    <w:rsid w:val="005E4FA1"/>
    <w:rsid w:val="006535BB"/>
    <w:rsid w:val="006B2C71"/>
    <w:rsid w:val="006E3B64"/>
    <w:rsid w:val="00767EEA"/>
    <w:rsid w:val="00775A0D"/>
    <w:rsid w:val="00785DDC"/>
    <w:rsid w:val="007B017F"/>
    <w:rsid w:val="008008A4"/>
    <w:rsid w:val="00845AF4"/>
    <w:rsid w:val="008C7DA4"/>
    <w:rsid w:val="009279D1"/>
    <w:rsid w:val="009330BE"/>
    <w:rsid w:val="009B56C1"/>
    <w:rsid w:val="009C4B24"/>
    <w:rsid w:val="009F18DF"/>
    <w:rsid w:val="00A20F51"/>
    <w:rsid w:val="00A448A8"/>
    <w:rsid w:val="00AB3418"/>
    <w:rsid w:val="00B123FD"/>
    <w:rsid w:val="00B24838"/>
    <w:rsid w:val="00BB7A55"/>
    <w:rsid w:val="00BC3B7B"/>
    <w:rsid w:val="00C96B64"/>
    <w:rsid w:val="00D05AD2"/>
    <w:rsid w:val="00D111EB"/>
    <w:rsid w:val="00D12102"/>
    <w:rsid w:val="00D73C8E"/>
    <w:rsid w:val="00DD3027"/>
    <w:rsid w:val="00DE78DB"/>
    <w:rsid w:val="00F41D19"/>
    <w:rsid w:val="00F639EF"/>
    <w:rsid w:val="00FA6961"/>
    <w:rsid w:val="00FB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01F850-0B98-4AFD-B2E5-647F6D82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sid w:val="00984185"/>
    <w:rPr>
      <w:rFonts w:ascii="Arial" w:eastAsia="ＭＳ ゴシック" w:hAnsi="Arial"/>
      <w:sz w:val="18"/>
      <w:szCs w:val="18"/>
    </w:rPr>
  </w:style>
  <w:style w:type="character" w:styleId="a6">
    <w:name w:val="Hyperlink"/>
    <w:rsid w:val="00984185"/>
    <w:rPr>
      <w:color w:val="0000FF"/>
      <w:u w:val="single"/>
    </w:rPr>
  </w:style>
  <w:style w:type="paragraph" w:styleId="a7">
    <w:name w:val="header"/>
    <w:basedOn w:val="a"/>
    <w:link w:val="a8"/>
    <w:uiPriority w:val="99"/>
    <w:unhideWhenUsed/>
    <w:rsid w:val="004645B2"/>
    <w:pPr>
      <w:tabs>
        <w:tab w:val="center" w:pos="4252"/>
        <w:tab w:val="right" w:pos="8504"/>
      </w:tabs>
      <w:snapToGrid w:val="0"/>
    </w:pPr>
  </w:style>
  <w:style w:type="character" w:customStyle="1" w:styleId="a8">
    <w:name w:val="ヘッダー (文字)"/>
    <w:link w:val="a7"/>
    <w:uiPriority w:val="99"/>
    <w:rsid w:val="004645B2"/>
    <w:rPr>
      <w:kern w:val="2"/>
      <w:sz w:val="21"/>
    </w:rPr>
  </w:style>
  <w:style w:type="character" w:styleId="a9">
    <w:name w:val="FollowedHyperlink"/>
    <w:rsid w:val="008008A4"/>
    <w:rPr>
      <w:color w:val="800080"/>
      <w:u w:val="single"/>
    </w:rPr>
  </w:style>
  <w:style w:type="paragraph" w:styleId="Web">
    <w:name w:val="Normal (Web)"/>
    <w:basedOn w:val="a"/>
    <w:rsid w:val="009F18DF"/>
    <w:pPr>
      <w:widowControl/>
      <w:spacing w:after="192"/>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A448A8"/>
    <w:rPr>
      <w:kern w:val="2"/>
      <w:sz w:val="21"/>
    </w:rPr>
  </w:style>
  <w:style w:type="character" w:styleId="ab">
    <w:name w:val="annotation reference"/>
    <w:uiPriority w:val="99"/>
    <w:semiHidden/>
    <w:unhideWhenUsed/>
    <w:rsid w:val="00A448A8"/>
    <w:rPr>
      <w:sz w:val="18"/>
      <w:szCs w:val="18"/>
    </w:rPr>
  </w:style>
  <w:style w:type="paragraph" w:styleId="ac">
    <w:name w:val="annotation text"/>
    <w:basedOn w:val="a"/>
    <w:link w:val="ad"/>
    <w:uiPriority w:val="99"/>
    <w:semiHidden/>
    <w:unhideWhenUsed/>
    <w:rsid w:val="00A448A8"/>
    <w:pPr>
      <w:jc w:val="left"/>
    </w:pPr>
  </w:style>
  <w:style w:type="character" w:customStyle="1" w:styleId="ad">
    <w:name w:val="コメント文字列 (文字)"/>
    <w:link w:val="ac"/>
    <w:uiPriority w:val="99"/>
    <w:semiHidden/>
    <w:rsid w:val="00A448A8"/>
    <w:rPr>
      <w:kern w:val="2"/>
      <w:sz w:val="21"/>
    </w:rPr>
  </w:style>
  <w:style w:type="paragraph" w:styleId="ae">
    <w:name w:val="annotation subject"/>
    <w:basedOn w:val="ac"/>
    <w:next w:val="ac"/>
    <w:link w:val="af"/>
    <w:uiPriority w:val="99"/>
    <w:semiHidden/>
    <w:unhideWhenUsed/>
    <w:rsid w:val="00A448A8"/>
    <w:rPr>
      <w:b/>
      <w:bCs/>
    </w:rPr>
  </w:style>
  <w:style w:type="character" w:customStyle="1" w:styleId="af">
    <w:name w:val="コメント内容 (文字)"/>
    <w:link w:val="ae"/>
    <w:uiPriority w:val="99"/>
    <w:semiHidden/>
    <w:rsid w:val="00A448A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71309">
      <w:bodyDiv w:val="1"/>
      <w:marLeft w:val="0"/>
      <w:marRight w:val="0"/>
      <w:marTop w:val="0"/>
      <w:marBottom w:val="0"/>
      <w:divBdr>
        <w:top w:val="none" w:sz="0" w:space="0" w:color="auto"/>
        <w:left w:val="none" w:sz="0" w:space="0" w:color="auto"/>
        <w:bottom w:val="none" w:sz="0" w:space="0" w:color="auto"/>
        <w:right w:val="none" w:sz="0" w:space="0" w:color="auto"/>
      </w:divBdr>
      <w:divsChild>
        <w:div w:id="1765154150">
          <w:marLeft w:val="0"/>
          <w:marRight w:val="0"/>
          <w:marTop w:val="0"/>
          <w:marBottom w:val="0"/>
          <w:divBdr>
            <w:top w:val="none" w:sz="0" w:space="0" w:color="auto"/>
            <w:left w:val="none" w:sz="0" w:space="0" w:color="auto"/>
            <w:bottom w:val="none" w:sz="0" w:space="0" w:color="auto"/>
            <w:right w:val="none" w:sz="0" w:space="0" w:color="auto"/>
          </w:divBdr>
          <w:divsChild>
            <w:div w:id="1400051573">
              <w:marLeft w:val="0"/>
              <w:marRight w:val="0"/>
              <w:marTop w:val="0"/>
              <w:marBottom w:val="0"/>
              <w:divBdr>
                <w:top w:val="none" w:sz="0" w:space="0" w:color="auto"/>
                <w:left w:val="none" w:sz="0" w:space="0" w:color="auto"/>
                <w:bottom w:val="none" w:sz="0" w:space="0" w:color="auto"/>
                <w:right w:val="none" w:sz="0" w:space="0" w:color="auto"/>
              </w:divBdr>
              <w:divsChild>
                <w:div w:id="1449083380">
                  <w:marLeft w:val="0"/>
                  <w:marRight w:val="0"/>
                  <w:marTop w:val="0"/>
                  <w:marBottom w:val="0"/>
                  <w:divBdr>
                    <w:top w:val="none" w:sz="0" w:space="0" w:color="auto"/>
                    <w:left w:val="none" w:sz="0" w:space="0" w:color="auto"/>
                    <w:bottom w:val="none" w:sz="0" w:space="0" w:color="auto"/>
                    <w:right w:val="none" w:sz="0" w:space="0" w:color="auto"/>
                  </w:divBdr>
                  <w:divsChild>
                    <w:div w:id="2107342532">
                      <w:marLeft w:val="0"/>
                      <w:marRight w:val="0"/>
                      <w:marTop w:val="0"/>
                      <w:marBottom w:val="0"/>
                      <w:divBdr>
                        <w:top w:val="none" w:sz="0" w:space="0" w:color="auto"/>
                        <w:left w:val="none" w:sz="0" w:space="0" w:color="auto"/>
                        <w:bottom w:val="none" w:sz="0" w:space="0" w:color="auto"/>
                        <w:right w:val="none" w:sz="0" w:space="0" w:color="auto"/>
                      </w:divBdr>
                      <w:divsChild>
                        <w:div w:id="1686202839">
                          <w:marLeft w:val="0"/>
                          <w:marRight w:val="0"/>
                          <w:marTop w:val="0"/>
                          <w:marBottom w:val="0"/>
                          <w:divBdr>
                            <w:top w:val="none" w:sz="0" w:space="0" w:color="auto"/>
                            <w:left w:val="none" w:sz="0" w:space="0" w:color="auto"/>
                            <w:bottom w:val="none" w:sz="0" w:space="0" w:color="auto"/>
                            <w:right w:val="none" w:sz="0" w:space="0" w:color="auto"/>
                          </w:divBdr>
                          <w:divsChild>
                            <w:div w:id="1730960370">
                              <w:marLeft w:val="0"/>
                              <w:marRight w:val="0"/>
                              <w:marTop w:val="0"/>
                              <w:marBottom w:val="0"/>
                              <w:divBdr>
                                <w:top w:val="none" w:sz="0" w:space="0" w:color="auto"/>
                                <w:left w:val="none" w:sz="0" w:space="0" w:color="auto"/>
                                <w:bottom w:val="none" w:sz="0" w:space="0" w:color="auto"/>
                                <w:right w:val="none" w:sz="0" w:space="0" w:color="auto"/>
                              </w:divBdr>
                              <w:divsChild>
                                <w:div w:id="17534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2011</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個人情報保護と人権</vt:lpstr>
      <vt:lpstr>個人情報保護と人権</vt:lpstr>
    </vt:vector>
  </TitlesOfParts>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2019-02-06T09:26:00Z</dcterms:created>
  <dcterms:modified xsi:type="dcterms:W3CDTF">2019-02-06T09:26:00Z</dcterms:modified>
</cp:coreProperties>
</file>