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C0" w:rsidRDefault="00E17DD3" w:rsidP="00E17DD3">
      <w:pPr>
        <w:overflowPunct w:val="0"/>
        <w:spacing w:line="406" w:lineRule="exact"/>
        <w:textAlignment w:val="baseline"/>
        <w:rPr>
          <w:rFonts w:ascii="ＭＳ 明朝" w:hAnsi="Times New Roman" w:cs="ＭＳ ゴシック"/>
          <w:b/>
          <w:color w:val="000000"/>
          <w:kern w:val="0"/>
          <w:sz w:val="24"/>
          <w:szCs w:val="24"/>
        </w:rPr>
      </w:pPr>
      <w:r w:rsidRPr="00C71383">
        <w:rPr>
          <w:rFonts w:ascii="ＭＳ 明朝" w:hAnsi="Times New Roman" w:cs="ＭＳ ゴシック" w:hint="eastAsia"/>
          <w:b/>
          <w:color w:val="000000"/>
          <w:kern w:val="0"/>
          <w:sz w:val="24"/>
          <w:szCs w:val="24"/>
        </w:rPr>
        <w:t xml:space="preserve">９　</w:t>
      </w:r>
      <w:r w:rsidR="001B7CC0">
        <w:rPr>
          <w:rFonts w:ascii="ＭＳ 明朝" w:hAnsi="Times New Roman" w:cs="ＭＳ ゴシック" w:hint="eastAsia"/>
          <w:b/>
          <w:color w:val="000000"/>
          <w:kern w:val="0"/>
          <w:sz w:val="24"/>
          <w:szCs w:val="24"/>
        </w:rPr>
        <w:t>弁護士</w:t>
      </w:r>
      <w:r w:rsidRPr="00C71383">
        <w:rPr>
          <w:rFonts w:ascii="ＭＳ 明朝" w:hAnsi="Times New Roman" w:cs="ＭＳ ゴシック" w:hint="eastAsia"/>
          <w:b/>
          <w:color w:val="000000"/>
          <w:kern w:val="0"/>
          <w:sz w:val="24"/>
          <w:szCs w:val="24"/>
        </w:rPr>
        <w:t>不祥事問題</w:t>
      </w:r>
    </w:p>
    <w:p w:rsidR="00E17DD3" w:rsidRPr="00C71383" w:rsidRDefault="00E17DD3" w:rsidP="00E17DD3">
      <w:pPr>
        <w:overflowPunct w:val="0"/>
        <w:spacing w:line="406" w:lineRule="exact"/>
        <w:textAlignment w:val="baseline"/>
        <w:rPr>
          <w:rFonts w:ascii="ＭＳ 明朝" w:hAnsi="Times New Roman"/>
          <w:b/>
          <w:color w:val="000000"/>
          <w:spacing w:val="6"/>
          <w:kern w:val="0"/>
          <w:szCs w:val="21"/>
        </w:rPr>
      </w:pPr>
    </w:p>
    <w:p w:rsidR="00E17DD3" w:rsidRPr="001B7CC0" w:rsidRDefault="00E17DD3" w:rsidP="00E17DD3">
      <w:pPr>
        <w:overflowPunct w:val="0"/>
        <w:spacing w:line="406" w:lineRule="exact"/>
        <w:textAlignment w:val="baseline"/>
        <w:rPr>
          <w:rFonts w:ascii="ＭＳ 明朝" w:hAnsi="Times New Roman"/>
          <w:b/>
          <w:color w:val="000000"/>
          <w:spacing w:val="6"/>
          <w:kern w:val="0"/>
          <w:szCs w:val="21"/>
        </w:rPr>
      </w:pPr>
      <w:r w:rsidRPr="001B7CC0">
        <w:rPr>
          <w:rFonts w:ascii="ＭＳ 明朝" w:hAnsi="Times New Roman" w:cs="ＭＳ ゴシック" w:hint="eastAsia"/>
          <w:b/>
          <w:color w:val="000000"/>
          <w:kern w:val="0"/>
          <w:sz w:val="24"/>
          <w:szCs w:val="24"/>
        </w:rPr>
        <w:t>（</w:t>
      </w:r>
      <w:r w:rsidRPr="001B7CC0">
        <w:rPr>
          <w:rFonts w:ascii="ＭＳ 明朝" w:hAnsi="ＭＳ ゴシック" w:cs="ＭＳ ゴシック"/>
          <w:b/>
          <w:color w:val="000000"/>
          <w:spacing w:val="2"/>
          <w:kern w:val="0"/>
          <w:sz w:val="24"/>
          <w:szCs w:val="24"/>
        </w:rPr>
        <w:t>1</w:t>
      </w:r>
      <w:r w:rsidRPr="001B7CC0">
        <w:rPr>
          <w:rFonts w:ascii="ＭＳ 明朝" w:hAnsi="Times New Roman" w:cs="ＭＳ ゴシック" w:hint="eastAsia"/>
          <w:b/>
          <w:color w:val="000000"/>
          <w:kern w:val="0"/>
          <w:sz w:val="24"/>
          <w:szCs w:val="24"/>
        </w:rPr>
        <w:t>）不祥事対策と不祥事の増加傾向</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日弁連は、</w:t>
      </w:r>
      <w:r w:rsidRPr="00E17DD3">
        <w:rPr>
          <w:rFonts w:ascii="ＭＳ 明朝" w:hAnsi="Times New Roman"/>
          <w:color w:val="000000"/>
          <w:kern w:val="0"/>
          <w:szCs w:val="21"/>
        </w:rPr>
        <w:t>2005</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17</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4</w:t>
      </w:r>
      <w:r w:rsidRPr="00E17DD3">
        <w:rPr>
          <w:rFonts w:ascii="ＭＳ 明朝" w:hAnsi="Times New Roman" w:cs="ＭＳ 明朝" w:hint="eastAsia"/>
          <w:color w:val="000000"/>
          <w:kern w:val="0"/>
          <w:szCs w:val="21"/>
        </w:rPr>
        <w:t>月に弁護士職務基本規程を制定して、弁護士倫理に関する規定を整備し、倫理研修を義務化するなどの方策を通じて弁護士倫理の充実に注力しており、弁護士の不祥事・非行に対しては、紛議調停制度及び懲戒制度の運用により対処してきた。</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ところが、弁護士人口の増加、弁護士の活動領域の拡大、広告の自由化など弁護士を巡る環境が変化する中で、一部には弁護士の経済的逼迫化といった現象も認められ、不祥事・非行は増加傾向をたどっている。</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殊に、</w:t>
      </w:r>
      <w:r w:rsidRPr="00E17DD3">
        <w:rPr>
          <w:rFonts w:ascii="ＭＳ 明朝" w:hAnsi="Times New Roman"/>
          <w:color w:val="000000"/>
          <w:kern w:val="0"/>
          <w:szCs w:val="21"/>
        </w:rPr>
        <w:t>2011</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23</w:t>
      </w:r>
      <w:r w:rsidRPr="00E17DD3">
        <w:rPr>
          <w:rFonts w:ascii="ＭＳ 明朝" w:hAnsi="Times New Roman" w:cs="ＭＳ 明朝" w:hint="eastAsia"/>
          <w:color w:val="000000"/>
          <w:kern w:val="0"/>
          <w:szCs w:val="21"/>
        </w:rPr>
        <w:t>）年以降、弁護士が多数の依頼者から巨額の預り金を横領しまたは保全事件の保証金等の名下で金員を詐取するといった事実が発覚して会員が逮捕される事件が立て続けに発生するに至り、また、成年後見人・後見監督人に就任した弁護士が被後見人の資金を詐取・着服する事件も相次いで発生した。これらの事件に対して、マスコミ報道では、弁護士会の自浄作用に対する厳しい論調が目立っている。</w:t>
      </w:r>
    </w:p>
    <w:p w:rsidR="00E17DD3" w:rsidRPr="001B7CC0" w:rsidRDefault="00E17DD3" w:rsidP="00E17DD3">
      <w:pPr>
        <w:overflowPunct w:val="0"/>
        <w:spacing w:line="406" w:lineRule="exact"/>
        <w:textAlignment w:val="baseline"/>
        <w:rPr>
          <w:rFonts w:ascii="ＭＳ 明朝" w:hAnsi="Times New Roman"/>
          <w:b/>
          <w:color w:val="000000"/>
          <w:spacing w:val="6"/>
          <w:kern w:val="0"/>
          <w:szCs w:val="21"/>
        </w:rPr>
      </w:pPr>
      <w:r w:rsidRPr="001B7CC0">
        <w:rPr>
          <w:rFonts w:ascii="ＭＳ 明朝" w:hAnsi="Times New Roman" w:cs="ＭＳ ゴシック" w:hint="eastAsia"/>
          <w:b/>
          <w:color w:val="000000"/>
          <w:kern w:val="0"/>
          <w:sz w:val="24"/>
          <w:szCs w:val="24"/>
        </w:rPr>
        <w:t>（</w:t>
      </w:r>
      <w:r w:rsidRPr="001B7CC0">
        <w:rPr>
          <w:rFonts w:ascii="ＭＳ 明朝" w:hAnsi="ＭＳ ゴシック" w:cs="ＭＳ ゴシック"/>
          <w:b/>
          <w:color w:val="000000"/>
          <w:spacing w:val="2"/>
          <w:kern w:val="0"/>
          <w:sz w:val="24"/>
          <w:szCs w:val="24"/>
        </w:rPr>
        <w:t>2</w:t>
      </w:r>
      <w:r w:rsidRPr="001B7CC0">
        <w:rPr>
          <w:rFonts w:ascii="ＭＳ 明朝" w:hAnsi="Times New Roman" w:cs="ＭＳ ゴシック" w:hint="eastAsia"/>
          <w:b/>
          <w:color w:val="000000"/>
          <w:kern w:val="0"/>
          <w:sz w:val="24"/>
          <w:szCs w:val="24"/>
        </w:rPr>
        <w:t>）弁護士会の対応</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日弁連は、この状況を放置しては市民の弁護士に対する信頼を著しく損ない、ひいては弁護士自治を根底から揺るがせかねない事態に発展しかねない、との危機感を強め、</w:t>
      </w:r>
      <w:r w:rsidRPr="00E17DD3">
        <w:rPr>
          <w:rFonts w:ascii="ＭＳ 明朝" w:hAnsi="Times New Roman"/>
          <w:color w:val="000000"/>
          <w:kern w:val="0"/>
          <w:szCs w:val="21"/>
        </w:rPr>
        <w:t>2012</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24</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10</w:t>
      </w:r>
      <w:r w:rsidRPr="00E17DD3">
        <w:rPr>
          <w:rFonts w:ascii="ＭＳ 明朝" w:hAnsi="Times New Roman" w:cs="ＭＳ 明朝" w:hint="eastAsia"/>
          <w:color w:val="000000"/>
          <w:kern w:val="0"/>
          <w:szCs w:val="21"/>
        </w:rPr>
        <w:t>月、市民窓口及び紛議調停制度に関するワーキンググループ内に弁護士不祥事対策検討プロジェクトチームを設置した。</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そして、同プロジェクトチームは、</w:t>
      </w:r>
      <w:r w:rsidRPr="00E17DD3">
        <w:rPr>
          <w:rFonts w:ascii="ＭＳ 明朝" w:hAnsi="Times New Roman"/>
          <w:color w:val="000000"/>
          <w:kern w:val="0"/>
          <w:szCs w:val="21"/>
        </w:rPr>
        <w:t>2013</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25</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1</w:t>
      </w:r>
      <w:r w:rsidRPr="00E17DD3">
        <w:rPr>
          <w:rFonts w:ascii="ＭＳ 明朝" w:hAnsi="Times New Roman" w:cs="ＭＳ 明朝" w:hint="eastAsia"/>
          <w:color w:val="000000"/>
          <w:kern w:val="0"/>
          <w:szCs w:val="21"/>
        </w:rPr>
        <w:t>月</w:t>
      </w:r>
      <w:r w:rsidRPr="00E17DD3">
        <w:rPr>
          <w:rFonts w:ascii="ＭＳ 明朝" w:hAnsi="Times New Roman"/>
          <w:color w:val="000000"/>
          <w:kern w:val="0"/>
          <w:szCs w:val="21"/>
        </w:rPr>
        <w:t>10</w:t>
      </w:r>
      <w:r w:rsidRPr="00E17DD3">
        <w:rPr>
          <w:rFonts w:ascii="ＭＳ 明朝" w:hAnsi="Times New Roman" w:cs="ＭＳ 明朝" w:hint="eastAsia"/>
          <w:color w:val="000000"/>
          <w:kern w:val="0"/>
          <w:szCs w:val="21"/>
        </w:rPr>
        <w:t>日付「不祥事の根絶をめざして」を策定し、預り金管理に関する規程の制定、市民窓口に寄せられた情報の積極的活用、市民窓口の機能強化、事前公表制度の適時運用、弁護士相談窓口の整備、研修制度の強化等の提言を行った。</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上記の提言を踏まえ、日弁連は、</w:t>
      </w:r>
      <w:r w:rsidRPr="00E17DD3">
        <w:rPr>
          <w:rFonts w:ascii="ＭＳ 明朝" w:hAnsi="Times New Roman"/>
          <w:color w:val="000000"/>
          <w:kern w:val="0"/>
          <w:szCs w:val="21"/>
        </w:rPr>
        <w:t>2013</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25</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5</w:t>
      </w:r>
      <w:r w:rsidRPr="00E17DD3">
        <w:rPr>
          <w:rFonts w:ascii="ＭＳ 明朝" w:hAnsi="Times New Roman" w:cs="ＭＳ 明朝" w:hint="eastAsia"/>
          <w:color w:val="000000"/>
          <w:kern w:val="0"/>
          <w:szCs w:val="21"/>
        </w:rPr>
        <w:t>月</w:t>
      </w:r>
      <w:r w:rsidRPr="00E17DD3">
        <w:rPr>
          <w:rFonts w:ascii="ＭＳ 明朝" w:hAnsi="Times New Roman"/>
          <w:color w:val="000000"/>
          <w:kern w:val="0"/>
          <w:szCs w:val="21"/>
        </w:rPr>
        <w:t>31</w:t>
      </w:r>
      <w:r w:rsidRPr="00E17DD3">
        <w:rPr>
          <w:rFonts w:ascii="ＭＳ 明朝" w:hAnsi="Times New Roman" w:cs="ＭＳ 明朝" w:hint="eastAsia"/>
          <w:color w:val="000000"/>
          <w:kern w:val="0"/>
          <w:szCs w:val="21"/>
        </w:rPr>
        <w:t>日の定時総会において、「預り金等の取扱いに関する規程」を制定した。これによって、会員の依頼者からの預り金について、弁護士会が照会・調査を行う範囲や会員の回答義務・調査協力義務の範囲が拡大され、弁護士会による早期に迅速な調査が可能となった。</w:t>
      </w:r>
    </w:p>
    <w:p w:rsidR="00E17DD3" w:rsidRPr="00E17DD3" w:rsidRDefault="00E17DD3" w:rsidP="00E17DD3">
      <w:pPr>
        <w:overflowPunct w:val="0"/>
        <w:ind w:leftChars="100" w:left="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 xml:space="preserve">　また、日弁連は、</w:t>
      </w:r>
      <w:r w:rsidRPr="00E17DD3">
        <w:rPr>
          <w:rFonts w:ascii="ＭＳ 明朝" w:hAnsi="Times New Roman"/>
          <w:color w:val="000000"/>
          <w:kern w:val="0"/>
          <w:szCs w:val="21"/>
        </w:rPr>
        <w:t>2013</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25</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6</w:t>
      </w:r>
      <w:r w:rsidRPr="00E17DD3">
        <w:rPr>
          <w:rFonts w:ascii="ＭＳ 明朝" w:hAnsi="Times New Roman" w:cs="ＭＳ 明朝" w:hint="eastAsia"/>
          <w:color w:val="000000"/>
          <w:kern w:val="0"/>
          <w:szCs w:val="21"/>
        </w:rPr>
        <w:t>月、新たに弁護士職務の適正化に関する委員会（以下「日弁連職務適正化委員会」という。）を設置し、同委員会の提言に基づき、同年</w:t>
      </w:r>
      <w:r w:rsidRPr="00E17DD3">
        <w:rPr>
          <w:rFonts w:ascii="ＭＳ 明朝" w:hAnsi="Times New Roman"/>
          <w:color w:val="000000"/>
          <w:kern w:val="0"/>
          <w:szCs w:val="21"/>
        </w:rPr>
        <w:t>12</w:t>
      </w:r>
      <w:r w:rsidRPr="00E17DD3">
        <w:rPr>
          <w:rFonts w:ascii="ＭＳ 明朝" w:hAnsi="Times New Roman" w:cs="ＭＳ 明朝" w:hint="eastAsia"/>
          <w:color w:val="000000"/>
          <w:kern w:val="0"/>
          <w:szCs w:val="21"/>
        </w:rPr>
        <w:t>月</w:t>
      </w:r>
      <w:r w:rsidRPr="00E17DD3">
        <w:rPr>
          <w:rFonts w:ascii="ＭＳ 明朝" w:hAnsi="Times New Roman" w:cs="ＭＳ 明朝"/>
          <w:color w:val="000000"/>
          <w:kern w:val="0"/>
          <w:szCs w:val="21"/>
        </w:rPr>
        <w:t>24</w:t>
      </w:r>
      <w:r w:rsidRPr="00E17DD3">
        <w:rPr>
          <w:rFonts w:ascii="ＭＳ 明朝" w:hAnsi="Times New Roman" w:cs="ＭＳ 明朝" w:hint="eastAsia"/>
          <w:color w:val="000000"/>
          <w:kern w:val="0"/>
          <w:szCs w:val="21"/>
        </w:rPr>
        <w:t>日付</w:t>
      </w:r>
      <w:r w:rsidRPr="00E17DD3">
        <w:rPr>
          <w:rFonts w:ascii="ＭＳ 明朝" w:hAnsi="Times New Roman" w:cs="ＭＳ 明朝" w:hint="eastAsia"/>
          <w:kern w:val="0"/>
          <w:szCs w:val="21"/>
        </w:rPr>
        <w:t>で「不祥事の根絶を目指してその2」を策定し、執行部での会費滞納情報の共有化、多重苦情対象弁護士の指導監督の強化、メンタルヘルス対策としての会員サポート制度の全国展開、マネージメント研修の導入、弁護士会相互間の情報交換システムの整備、懲戒手続に関する全国協議会の開催、被害救済基金制度の検討などが提言された。</w:t>
      </w:r>
    </w:p>
    <w:p w:rsidR="00E17DD3" w:rsidRDefault="00E17DD3" w:rsidP="00E17DD3">
      <w:pPr>
        <w:overflowPunct w:val="0"/>
        <w:ind w:leftChars="100" w:left="210" w:firstLineChars="100" w:firstLine="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この提言に基づき、懲戒手続運用等に関する全国協議会の開催による会請求・事前公表制度運用の共有化が図られ、2015（平成27）年3月に「不祥事防止マニュアル」が発刊され、同年10月から、全国規模でのメンタルヘルスカウンセリング制度が開始された。</w:t>
      </w:r>
    </w:p>
    <w:p w:rsidR="00081EED" w:rsidRDefault="00E17DD3" w:rsidP="00E17DD3">
      <w:pPr>
        <w:overflowPunct w:val="0"/>
        <w:ind w:leftChars="100" w:left="210" w:firstLineChars="100" w:firstLine="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201</w:t>
      </w:r>
      <w:r>
        <w:rPr>
          <w:rFonts w:ascii="ＭＳ 明朝" w:hAnsi="Times New Roman" w:cs="ＭＳ 明朝" w:hint="eastAsia"/>
          <w:color w:val="000000"/>
          <w:kern w:val="0"/>
          <w:szCs w:val="21"/>
        </w:rPr>
        <w:t>7</w:t>
      </w:r>
      <w:r w:rsidRPr="00E17DD3">
        <w:rPr>
          <w:rFonts w:ascii="ＭＳ 明朝" w:hAnsi="Times New Roman" w:cs="ＭＳ 明朝" w:hint="eastAsia"/>
          <w:color w:val="000000"/>
          <w:kern w:val="0"/>
          <w:szCs w:val="21"/>
        </w:rPr>
        <w:t>（平成2</w:t>
      </w:r>
      <w:r>
        <w:rPr>
          <w:rFonts w:ascii="ＭＳ 明朝" w:hAnsi="Times New Roman" w:cs="ＭＳ 明朝" w:hint="eastAsia"/>
          <w:color w:val="000000"/>
          <w:kern w:val="0"/>
          <w:szCs w:val="21"/>
        </w:rPr>
        <w:t>9</w:t>
      </w:r>
      <w:r w:rsidRPr="00E17DD3">
        <w:rPr>
          <w:rFonts w:ascii="ＭＳ 明朝" w:hAnsi="Times New Roman" w:cs="ＭＳ 明朝" w:hint="eastAsia"/>
          <w:color w:val="000000"/>
          <w:kern w:val="0"/>
          <w:szCs w:val="21"/>
        </w:rPr>
        <w:t>）年</w:t>
      </w:r>
      <w:r w:rsidR="00CC6A46">
        <w:rPr>
          <w:rFonts w:ascii="ＭＳ 明朝" w:hAnsi="Times New Roman" w:cs="ＭＳ 明朝" w:hint="eastAsia"/>
          <w:color w:val="000000"/>
          <w:kern w:val="0"/>
          <w:szCs w:val="21"/>
        </w:rPr>
        <w:t>2月の日弁連理事会は、</w:t>
      </w:r>
      <w:r w:rsidR="00CC6A46" w:rsidRPr="00E17DD3">
        <w:rPr>
          <w:rFonts w:ascii="ＭＳ 明朝" w:hAnsi="Times New Roman" w:cs="ＭＳ 明朝" w:hint="eastAsia"/>
          <w:color w:val="000000"/>
          <w:kern w:val="0"/>
          <w:szCs w:val="21"/>
        </w:rPr>
        <w:t>会員の職務に関する諸問題の相談に応ずる</w:t>
      </w:r>
      <w:r w:rsidR="00CC6A46">
        <w:rPr>
          <w:rFonts w:ascii="ＭＳ 明朝" w:hAnsi="Times New Roman" w:cs="ＭＳ 明朝" w:hint="eastAsia"/>
          <w:color w:val="000000"/>
          <w:kern w:val="0"/>
          <w:szCs w:val="21"/>
        </w:rPr>
        <w:t>為の</w:t>
      </w:r>
      <w:r w:rsidR="00CC6A46" w:rsidRPr="00E17DD3">
        <w:rPr>
          <w:rFonts w:ascii="ＭＳ 明朝" w:hAnsi="Times New Roman" w:cs="ＭＳ 明朝" w:hint="eastAsia"/>
          <w:color w:val="000000"/>
          <w:kern w:val="0"/>
          <w:szCs w:val="21"/>
        </w:rPr>
        <w:t>会員サポート窓口運営規則</w:t>
      </w:r>
      <w:r w:rsidR="00CC6A46">
        <w:rPr>
          <w:rFonts w:ascii="ＭＳ 明朝" w:hAnsi="Times New Roman" w:cs="ＭＳ 明朝" w:hint="eastAsia"/>
          <w:color w:val="000000"/>
          <w:kern w:val="0"/>
          <w:szCs w:val="21"/>
        </w:rPr>
        <w:t>を承認可決し、同年</w:t>
      </w:r>
      <w:r w:rsidRPr="00E17DD3">
        <w:rPr>
          <w:rFonts w:ascii="ＭＳ 明朝" w:hAnsi="Times New Roman" w:cs="ＭＳ 明朝" w:hint="eastAsia"/>
          <w:color w:val="000000"/>
          <w:kern w:val="0"/>
          <w:szCs w:val="21"/>
        </w:rPr>
        <w:t>3月</w:t>
      </w:r>
      <w:r w:rsidR="00081EED">
        <w:rPr>
          <w:rFonts w:ascii="ＭＳ 明朝" w:hAnsi="Times New Roman" w:cs="ＭＳ 明朝" w:hint="eastAsia"/>
          <w:color w:val="000000"/>
          <w:kern w:val="0"/>
          <w:szCs w:val="21"/>
        </w:rPr>
        <w:t>の日弁連臨時総会</w:t>
      </w:r>
      <w:r w:rsidR="00CC6A46">
        <w:rPr>
          <w:rFonts w:ascii="ＭＳ 明朝" w:hAnsi="Times New Roman" w:cs="ＭＳ 明朝" w:hint="eastAsia"/>
          <w:color w:val="000000"/>
          <w:kern w:val="0"/>
          <w:szCs w:val="21"/>
        </w:rPr>
        <w:t>で</w:t>
      </w:r>
      <w:r w:rsidR="00081EED">
        <w:rPr>
          <w:rFonts w:ascii="ＭＳ 明朝" w:hAnsi="Times New Roman" w:cs="ＭＳ 明朝" w:hint="eastAsia"/>
          <w:color w:val="000000"/>
          <w:kern w:val="0"/>
          <w:szCs w:val="21"/>
        </w:rPr>
        <w:t>は、</w:t>
      </w:r>
      <w:r w:rsidR="00081EED" w:rsidRPr="00E17DD3">
        <w:rPr>
          <w:rFonts w:ascii="ＭＳ 明朝" w:hAnsi="Times New Roman" w:cs="ＭＳ 明朝" w:hint="eastAsia"/>
          <w:color w:val="000000"/>
          <w:kern w:val="0"/>
          <w:szCs w:val="21"/>
        </w:rPr>
        <w:t>弁護士の横領により被害を受けた依頼者に対する</w:t>
      </w:r>
      <w:r w:rsidR="00081EED">
        <w:rPr>
          <w:rFonts w:ascii="ＭＳ 明朝" w:hAnsi="Times New Roman" w:cs="ＭＳ 明朝" w:hint="eastAsia"/>
          <w:color w:val="000000"/>
          <w:kern w:val="0"/>
          <w:szCs w:val="21"/>
        </w:rPr>
        <w:t>最高500万円の</w:t>
      </w:r>
      <w:r w:rsidR="00081EED" w:rsidRPr="00E17DD3">
        <w:rPr>
          <w:rFonts w:ascii="ＭＳ 明朝" w:hAnsi="Times New Roman" w:cs="ＭＳ 明朝" w:hint="eastAsia"/>
          <w:color w:val="000000"/>
          <w:kern w:val="0"/>
          <w:szCs w:val="21"/>
        </w:rPr>
        <w:t>見舞金の支給を可能とする</w:t>
      </w:r>
      <w:r>
        <w:rPr>
          <w:rFonts w:ascii="ＭＳ 明朝" w:hAnsi="Times New Roman" w:cs="ＭＳ 明朝" w:hint="eastAsia"/>
          <w:color w:val="000000"/>
          <w:kern w:val="0"/>
          <w:szCs w:val="21"/>
        </w:rPr>
        <w:t>依頼者見舞金に関する規程</w:t>
      </w:r>
      <w:r w:rsidR="00081EED">
        <w:rPr>
          <w:rFonts w:ascii="ＭＳ 明朝" w:hAnsi="Times New Roman" w:cs="ＭＳ 明朝" w:hint="eastAsia"/>
          <w:color w:val="000000"/>
          <w:kern w:val="0"/>
          <w:szCs w:val="21"/>
        </w:rPr>
        <w:t>の制</w:t>
      </w:r>
      <w:r w:rsidR="00081EED">
        <w:rPr>
          <w:rFonts w:ascii="ＭＳ 明朝" w:hAnsi="Times New Roman" w:cs="ＭＳ 明朝" w:hint="eastAsia"/>
          <w:color w:val="000000"/>
          <w:kern w:val="0"/>
          <w:szCs w:val="21"/>
        </w:rPr>
        <w:lastRenderedPageBreak/>
        <w:t>定と預り金口座の明示文字使用と届出義務を定め</w:t>
      </w:r>
      <w:r w:rsidR="00CC6A46">
        <w:rPr>
          <w:rFonts w:ascii="ＭＳ 明朝" w:hAnsi="Times New Roman" w:cs="ＭＳ 明朝" w:hint="eastAsia"/>
          <w:color w:val="000000"/>
          <w:kern w:val="0"/>
          <w:szCs w:val="21"/>
        </w:rPr>
        <w:t>た</w:t>
      </w:r>
      <w:r>
        <w:rPr>
          <w:rFonts w:ascii="ＭＳ 明朝" w:hAnsi="Times New Roman" w:cs="ＭＳ 明朝" w:hint="eastAsia"/>
          <w:color w:val="000000"/>
          <w:kern w:val="0"/>
          <w:szCs w:val="21"/>
        </w:rPr>
        <w:t>預り金</w:t>
      </w:r>
      <w:r w:rsidR="00081EED">
        <w:rPr>
          <w:rFonts w:ascii="ＭＳ 明朝" w:hAnsi="Times New Roman" w:cs="ＭＳ 明朝" w:hint="eastAsia"/>
          <w:color w:val="000000"/>
          <w:kern w:val="0"/>
          <w:szCs w:val="21"/>
        </w:rPr>
        <w:t>等</w:t>
      </w:r>
      <w:r>
        <w:rPr>
          <w:rFonts w:ascii="ＭＳ 明朝" w:hAnsi="Times New Roman" w:cs="ＭＳ 明朝" w:hint="eastAsia"/>
          <w:color w:val="000000"/>
          <w:kern w:val="0"/>
          <w:szCs w:val="21"/>
        </w:rPr>
        <w:t>の取扱いに関する規程</w:t>
      </w:r>
      <w:r w:rsidR="00081EED">
        <w:rPr>
          <w:rFonts w:ascii="ＭＳ 明朝" w:hAnsi="Times New Roman" w:cs="ＭＳ 明朝" w:hint="eastAsia"/>
          <w:color w:val="000000"/>
          <w:kern w:val="0"/>
          <w:szCs w:val="21"/>
        </w:rPr>
        <w:t>の</w:t>
      </w:r>
      <w:r>
        <w:rPr>
          <w:rFonts w:ascii="ＭＳ 明朝" w:hAnsi="Times New Roman" w:cs="ＭＳ 明朝" w:hint="eastAsia"/>
          <w:color w:val="000000"/>
          <w:kern w:val="0"/>
          <w:szCs w:val="21"/>
        </w:rPr>
        <w:t>改正</w:t>
      </w:r>
      <w:r w:rsidR="00081EED">
        <w:rPr>
          <w:rFonts w:ascii="ＭＳ 明朝" w:hAnsi="Times New Roman" w:cs="ＭＳ 明朝" w:hint="eastAsia"/>
          <w:color w:val="000000"/>
          <w:kern w:val="0"/>
          <w:szCs w:val="21"/>
        </w:rPr>
        <w:t>が行われ</w:t>
      </w:r>
      <w:r w:rsidR="00CC6A46">
        <w:rPr>
          <w:rFonts w:ascii="ＭＳ 明朝" w:hAnsi="Times New Roman" w:cs="ＭＳ 明朝" w:hint="eastAsia"/>
          <w:color w:val="000000"/>
          <w:kern w:val="0"/>
          <w:szCs w:val="21"/>
        </w:rPr>
        <w:t>、いずれも</w:t>
      </w:r>
      <w:r>
        <w:rPr>
          <w:rFonts w:ascii="ＭＳ 明朝" w:hAnsi="Times New Roman" w:cs="ＭＳ 明朝" w:hint="eastAsia"/>
          <w:color w:val="000000"/>
          <w:kern w:val="0"/>
          <w:szCs w:val="21"/>
        </w:rPr>
        <w:t>同年10月</w:t>
      </w:r>
      <w:r w:rsidR="00CC6A46">
        <w:rPr>
          <w:rFonts w:ascii="ＭＳ 明朝" w:hAnsi="Times New Roman" w:cs="ＭＳ 明朝" w:hint="eastAsia"/>
          <w:color w:val="000000"/>
          <w:kern w:val="0"/>
          <w:szCs w:val="21"/>
        </w:rPr>
        <w:t>1日</w:t>
      </w:r>
      <w:r>
        <w:rPr>
          <w:rFonts w:ascii="ＭＳ 明朝" w:hAnsi="Times New Roman" w:cs="ＭＳ 明朝" w:hint="eastAsia"/>
          <w:color w:val="000000"/>
          <w:kern w:val="0"/>
          <w:szCs w:val="21"/>
        </w:rPr>
        <w:t>から</w:t>
      </w:r>
      <w:r w:rsidR="00CC6A46">
        <w:rPr>
          <w:rFonts w:ascii="ＭＳ 明朝" w:hAnsi="Times New Roman" w:cs="ＭＳ 明朝" w:hint="eastAsia"/>
          <w:color w:val="000000"/>
          <w:kern w:val="0"/>
          <w:szCs w:val="21"/>
        </w:rPr>
        <w:t>施行</w:t>
      </w:r>
      <w:r w:rsidR="00081EED">
        <w:rPr>
          <w:rFonts w:ascii="ＭＳ 明朝" w:hAnsi="Times New Roman" w:cs="ＭＳ 明朝" w:hint="eastAsia"/>
          <w:color w:val="000000"/>
          <w:kern w:val="0"/>
          <w:szCs w:val="21"/>
        </w:rPr>
        <w:t>されている。</w:t>
      </w:r>
    </w:p>
    <w:p w:rsidR="00E17DD3" w:rsidRPr="00E17DD3" w:rsidRDefault="00494165" w:rsidP="00E17DD3">
      <w:pPr>
        <w:overflowPunct w:val="0"/>
        <w:ind w:leftChars="100" w:left="210" w:firstLineChars="100" w:firstLine="21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更に、</w:t>
      </w:r>
      <w:r w:rsidRPr="00E17DD3">
        <w:rPr>
          <w:rFonts w:ascii="ＭＳ 明朝" w:hAnsi="Times New Roman" w:cs="ＭＳ 明朝" w:hint="eastAsia"/>
          <w:color w:val="000000"/>
          <w:kern w:val="0"/>
          <w:szCs w:val="21"/>
        </w:rPr>
        <w:t>日弁連職務適正化委員会</w:t>
      </w:r>
      <w:r>
        <w:rPr>
          <w:rFonts w:ascii="ＭＳ 明朝" w:hAnsi="Times New Roman" w:cs="ＭＳ 明朝" w:hint="eastAsia"/>
          <w:color w:val="000000"/>
          <w:kern w:val="0"/>
          <w:szCs w:val="21"/>
        </w:rPr>
        <w:t>では、IT技術の普及や弁護士増員等により弁護士の環境が変化しているにもかかわらず、弁護士の将来への備えが貧弱であることが不祥事発生の一因と捉え、不祥事対策に止まらず、ハッピーリタイアメント</w:t>
      </w:r>
      <w:r w:rsidR="00203B89">
        <w:rPr>
          <w:rFonts w:ascii="ＭＳ 明朝" w:hAnsi="Times New Roman" w:cs="ＭＳ 明朝" w:hint="eastAsia"/>
          <w:color w:val="000000"/>
          <w:kern w:val="0"/>
          <w:szCs w:val="21"/>
        </w:rPr>
        <w:t>の実現の</w:t>
      </w:r>
      <w:r>
        <w:rPr>
          <w:rFonts w:ascii="ＭＳ 明朝" w:hAnsi="Times New Roman" w:cs="ＭＳ 明朝" w:hint="eastAsia"/>
          <w:color w:val="000000"/>
          <w:kern w:val="0"/>
          <w:szCs w:val="21"/>
        </w:rPr>
        <w:t>為</w:t>
      </w:r>
      <w:r w:rsidR="00203B89">
        <w:rPr>
          <w:rFonts w:ascii="ＭＳ 明朝" w:hAnsi="Times New Roman" w:cs="ＭＳ 明朝" w:hint="eastAsia"/>
          <w:color w:val="000000"/>
          <w:kern w:val="0"/>
          <w:szCs w:val="21"/>
        </w:rPr>
        <w:t>に、</w:t>
      </w:r>
      <w:r>
        <w:rPr>
          <w:rFonts w:ascii="ＭＳ 明朝" w:hAnsi="Times New Roman" w:cs="ＭＳ 明朝" w:hint="eastAsia"/>
          <w:color w:val="000000"/>
          <w:kern w:val="0"/>
          <w:szCs w:val="21"/>
        </w:rPr>
        <w:t>ライフプラン</w:t>
      </w:r>
      <w:r w:rsidR="00203B89">
        <w:rPr>
          <w:rFonts w:ascii="ＭＳ 明朝" w:hAnsi="Times New Roman" w:cs="ＭＳ 明朝" w:hint="eastAsia"/>
          <w:color w:val="000000"/>
          <w:kern w:val="0"/>
          <w:szCs w:val="21"/>
        </w:rPr>
        <w:t>を</w:t>
      </w:r>
      <w:r>
        <w:rPr>
          <w:rFonts w:ascii="ＭＳ 明朝" w:hAnsi="Times New Roman" w:cs="ＭＳ 明朝" w:hint="eastAsia"/>
          <w:color w:val="000000"/>
          <w:kern w:val="0"/>
          <w:szCs w:val="21"/>
        </w:rPr>
        <w:t>作成</w:t>
      </w:r>
      <w:r w:rsidR="00203B89">
        <w:rPr>
          <w:rFonts w:ascii="ＭＳ 明朝" w:hAnsi="Times New Roman" w:cs="ＭＳ 明朝" w:hint="eastAsia"/>
          <w:color w:val="000000"/>
          <w:kern w:val="0"/>
          <w:szCs w:val="21"/>
        </w:rPr>
        <w:t>するよう</w:t>
      </w:r>
      <w:r>
        <w:rPr>
          <w:rFonts w:ascii="ＭＳ 明朝" w:hAnsi="Times New Roman" w:cs="ＭＳ 明朝" w:hint="eastAsia"/>
          <w:color w:val="000000"/>
          <w:kern w:val="0"/>
          <w:szCs w:val="21"/>
        </w:rPr>
        <w:t>推奨し、</w:t>
      </w:r>
      <w:r w:rsidR="00203B89">
        <w:rPr>
          <w:rFonts w:ascii="ＭＳ 明朝" w:hAnsi="Times New Roman" w:cs="ＭＳ 明朝" w:hint="eastAsia"/>
          <w:color w:val="000000"/>
          <w:kern w:val="0"/>
          <w:szCs w:val="21"/>
        </w:rPr>
        <w:t>キャッシュフロー表の作成を案内する</w:t>
      </w:r>
      <w:r>
        <w:rPr>
          <w:rFonts w:ascii="ＭＳ 明朝" w:hAnsi="Times New Roman" w:cs="ＭＳ 明朝" w:hint="eastAsia"/>
          <w:color w:val="000000"/>
          <w:kern w:val="0"/>
          <w:szCs w:val="21"/>
        </w:rPr>
        <w:t>「</w:t>
      </w:r>
      <w:r w:rsidRPr="00E17DD3">
        <w:rPr>
          <w:rFonts w:ascii="ＭＳ 明朝" w:hAnsi="Times New Roman" w:cs="ＭＳ 明朝" w:hint="eastAsia"/>
          <w:color w:val="000000"/>
          <w:kern w:val="0"/>
          <w:szCs w:val="21"/>
        </w:rPr>
        <w:t>弁護士ライフプラン</w:t>
      </w:r>
      <w:r>
        <w:rPr>
          <w:rFonts w:ascii="ＭＳ 明朝" w:hAnsi="Times New Roman" w:cs="ＭＳ 明朝" w:hint="eastAsia"/>
          <w:color w:val="000000"/>
          <w:kern w:val="0"/>
          <w:szCs w:val="21"/>
        </w:rPr>
        <w:t>のつくり方」を作成し</w:t>
      </w:r>
      <w:r w:rsidR="00203B89">
        <w:rPr>
          <w:rFonts w:ascii="ＭＳ 明朝" w:hAnsi="Times New Roman" w:cs="ＭＳ 明朝" w:hint="eastAsia"/>
          <w:color w:val="000000"/>
          <w:kern w:val="0"/>
          <w:szCs w:val="21"/>
        </w:rPr>
        <w:t>て</w:t>
      </w:r>
      <w:r>
        <w:rPr>
          <w:rFonts w:ascii="ＭＳ 明朝" w:hAnsi="Times New Roman" w:cs="ＭＳ 明朝" w:hint="eastAsia"/>
          <w:color w:val="000000"/>
          <w:kern w:val="0"/>
          <w:szCs w:val="21"/>
        </w:rPr>
        <w:t>、同年10月1日から日弁連ＨＰの会員専用ページに掲載している。</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一方、日弁連高齢者・障害者権利</w:t>
      </w:r>
      <w:r w:rsidR="00081EED">
        <w:rPr>
          <w:rFonts w:ascii="ＭＳ 明朝" w:hAnsi="Times New Roman" w:cs="ＭＳ 明朝" w:hint="eastAsia"/>
          <w:color w:val="000000"/>
          <w:kern w:val="0"/>
          <w:szCs w:val="21"/>
        </w:rPr>
        <w:t>支援センター</w:t>
      </w:r>
      <w:r w:rsidRPr="00E17DD3">
        <w:rPr>
          <w:rFonts w:ascii="ＭＳ 明朝" w:hAnsi="Times New Roman" w:cs="ＭＳ 明朝" w:hint="eastAsia"/>
          <w:color w:val="000000"/>
          <w:kern w:val="0"/>
          <w:szCs w:val="21"/>
        </w:rPr>
        <w:t>においても、賠償保険加入等を内容とする後見人推薦名簿登載要件や推薦要件の厳格化、各家裁と各弁護士会の定期的な協議会の開催、弁護士会による職務報告の点検、「名簿提出方式」から「会推薦方式」への移行、職務ガイドラインの設定、研修・ＯＪＴ等による後見人のサポート体制の整備などが提言され、日弁連から、各弁護士会には、</w:t>
      </w:r>
      <w:r w:rsidRPr="00E17DD3">
        <w:rPr>
          <w:rFonts w:ascii="ＭＳ 明朝" w:hAnsi="Times New Roman" w:cs="ＭＳ 明朝"/>
          <w:color w:val="000000"/>
          <w:kern w:val="0"/>
          <w:szCs w:val="21"/>
        </w:rPr>
        <w:t>2014</w:t>
      </w:r>
      <w:r w:rsidRPr="00E17DD3">
        <w:rPr>
          <w:rFonts w:ascii="ＭＳ 明朝" w:hAnsi="Times New Roman" w:cs="ＭＳ 明朝" w:hint="eastAsia"/>
          <w:color w:val="000000"/>
          <w:kern w:val="0"/>
          <w:szCs w:val="21"/>
        </w:rPr>
        <w:t>（平成</w:t>
      </w:r>
      <w:r w:rsidRPr="00E17DD3">
        <w:rPr>
          <w:rFonts w:ascii="ＭＳ 明朝" w:hAnsi="Times New Roman" w:cs="ＭＳ 明朝"/>
          <w:color w:val="000000"/>
          <w:kern w:val="0"/>
          <w:szCs w:val="21"/>
        </w:rPr>
        <w:t>26</w:t>
      </w:r>
      <w:r w:rsidRPr="00E17DD3">
        <w:rPr>
          <w:rFonts w:ascii="ＭＳ 明朝" w:hAnsi="Times New Roman" w:cs="ＭＳ 明朝" w:hint="eastAsia"/>
          <w:color w:val="000000"/>
          <w:kern w:val="0"/>
          <w:szCs w:val="21"/>
        </w:rPr>
        <w:t>）年</w:t>
      </w:r>
      <w:r w:rsidRPr="00E17DD3">
        <w:rPr>
          <w:rFonts w:ascii="ＭＳ 明朝" w:hAnsi="Times New Roman" w:cs="ＭＳ 明朝"/>
          <w:color w:val="000000"/>
          <w:kern w:val="0"/>
          <w:szCs w:val="21"/>
        </w:rPr>
        <w:t>2</w:t>
      </w:r>
      <w:r w:rsidRPr="00E17DD3">
        <w:rPr>
          <w:rFonts w:ascii="ＭＳ 明朝" w:hAnsi="Times New Roman" w:cs="ＭＳ 明朝" w:hint="eastAsia"/>
          <w:color w:val="000000"/>
          <w:kern w:val="0"/>
          <w:szCs w:val="21"/>
        </w:rPr>
        <w:t>月</w:t>
      </w:r>
      <w:r w:rsidRPr="00E17DD3">
        <w:rPr>
          <w:rFonts w:ascii="ＭＳ 明朝" w:hAnsi="Times New Roman" w:cs="ＭＳ 明朝"/>
          <w:color w:val="000000"/>
          <w:kern w:val="0"/>
          <w:szCs w:val="21"/>
        </w:rPr>
        <w:t>26</w:t>
      </w:r>
      <w:r w:rsidRPr="00E17DD3">
        <w:rPr>
          <w:rFonts w:ascii="ＭＳ 明朝" w:hAnsi="Times New Roman" w:cs="ＭＳ 明朝" w:hint="eastAsia"/>
          <w:color w:val="000000"/>
          <w:kern w:val="0"/>
          <w:szCs w:val="21"/>
        </w:rPr>
        <w:t>日付で、この提言の取組み要請がなされ</w:t>
      </w:r>
      <w:r w:rsidR="00800C94">
        <w:rPr>
          <w:rFonts w:ascii="ＭＳ 明朝" w:hAnsi="Times New Roman" w:cs="ＭＳ 明朝" w:hint="eastAsia"/>
          <w:color w:val="000000"/>
          <w:kern w:val="0"/>
          <w:szCs w:val="21"/>
        </w:rPr>
        <w:t>、2017（平成29）年3月14日付にも再要請が行われ</w:t>
      </w:r>
      <w:r w:rsidRPr="00E17DD3">
        <w:rPr>
          <w:rFonts w:ascii="ＭＳ 明朝" w:hAnsi="Times New Roman" w:cs="ＭＳ 明朝" w:hint="eastAsia"/>
          <w:color w:val="000000"/>
          <w:kern w:val="0"/>
          <w:szCs w:val="21"/>
        </w:rPr>
        <w:t>た。</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東弁においては、日弁連とほぼ同時期の</w:t>
      </w:r>
      <w:r w:rsidRPr="00E17DD3">
        <w:rPr>
          <w:rFonts w:ascii="ＭＳ 明朝" w:hAnsi="Times New Roman"/>
          <w:color w:val="000000"/>
          <w:kern w:val="0"/>
          <w:szCs w:val="21"/>
        </w:rPr>
        <w:t>2013</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25</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5</w:t>
      </w:r>
      <w:r w:rsidRPr="00E17DD3">
        <w:rPr>
          <w:rFonts w:ascii="ＭＳ 明朝" w:hAnsi="Times New Roman" w:cs="ＭＳ 明朝" w:hint="eastAsia"/>
          <w:color w:val="000000"/>
          <w:kern w:val="0"/>
          <w:szCs w:val="21"/>
        </w:rPr>
        <w:t>月</w:t>
      </w:r>
      <w:r w:rsidRPr="00E17DD3">
        <w:rPr>
          <w:rFonts w:ascii="ＭＳ 明朝" w:hAnsi="Times New Roman"/>
          <w:color w:val="000000"/>
          <w:kern w:val="0"/>
          <w:szCs w:val="21"/>
        </w:rPr>
        <w:t>29</w:t>
      </w:r>
      <w:r w:rsidRPr="00E17DD3">
        <w:rPr>
          <w:rFonts w:ascii="ＭＳ 明朝" w:hAnsi="Times New Roman" w:cs="ＭＳ 明朝" w:hint="eastAsia"/>
          <w:color w:val="000000"/>
          <w:kern w:val="0"/>
          <w:szCs w:val="21"/>
        </w:rPr>
        <w:t>日の定時総会</w:t>
      </w:r>
      <w:r w:rsidR="00203B89">
        <w:rPr>
          <w:rFonts w:ascii="ＭＳ 明朝" w:hAnsi="Times New Roman" w:cs="ＭＳ 明朝" w:hint="eastAsia"/>
          <w:color w:val="000000"/>
          <w:kern w:val="0"/>
          <w:szCs w:val="21"/>
        </w:rPr>
        <w:t>で</w:t>
      </w:r>
      <w:r w:rsidRPr="00E17DD3">
        <w:rPr>
          <w:rFonts w:ascii="ＭＳ 明朝" w:hAnsi="Times New Roman" w:cs="ＭＳ 明朝" w:hint="eastAsia"/>
          <w:color w:val="000000"/>
          <w:kern w:val="0"/>
          <w:szCs w:val="21"/>
        </w:rPr>
        <w:t>、「預り金等の取扱いに関する会規」を制定し</w:t>
      </w:r>
      <w:r w:rsidR="00203B89">
        <w:rPr>
          <w:rFonts w:ascii="ＭＳ 明朝" w:hAnsi="Times New Roman" w:cs="ＭＳ 明朝" w:hint="eastAsia"/>
          <w:color w:val="000000"/>
          <w:kern w:val="0"/>
          <w:szCs w:val="21"/>
        </w:rPr>
        <w:t>、2017（平成29）年5月29日の定時総会で、日弁連の同規程改正に即した改正を行っ</w:t>
      </w:r>
      <w:r w:rsidRPr="00E17DD3">
        <w:rPr>
          <w:rFonts w:ascii="ＭＳ 明朝" w:hAnsi="Times New Roman" w:cs="ＭＳ 明朝" w:hint="eastAsia"/>
          <w:color w:val="000000"/>
          <w:kern w:val="0"/>
          <w:szCs w:val="21"/>
        </w:rPr>
        <w:t>た。</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また、新たに、多重苦情対象弁護士に対する通知制度（弁護士業務等に関する市民窓口規則第</w:t>
      </w:r>
      <w:r w:rsidRPr="00E17DD3">
        <w:rPr>
          <w:rFonts w:ascii="ＭＳ 明朝" w:hAnsi="Times New Roman"/>
          <w:color w:val="000000"/>
          <w:kern w:val="0"/>
          <w:szCs w:val="21"/>
        </w:rPr>
        <w:t>5</w:t>
      </w:r>
      <w:r w:rsidRPr="00E17DD3">
        <w:rPr>
          <w:rFonts w:ascii="ＭＳ 明朝" w:hAnsi="Times New Roman" w:cs="ＭＳ 明朝" w:hint="eastAsia"/>
          <w:color w:val="000000"/>
          <w:kern w:val="0"/>
          <w:szCs w:val="21"/>
        </w:rPr>
        <w:t>条第</w:t>
      </w:r>
      <w:r w:rsidRPr="00E17DD3">
        <w:rPr>
          <w:rFonts w:ascii="ＭＳ 明朝" w:hAnsi="Times New Roman"/>
          <w:color w:val="000000"/>
          <w:kern w:val="0"/>
          <w:szCs w:val="21"/>
        </w:rPr>
        <w:t>2</w:t>
      </w:r>
      <w:r w:rsidRPr="00E17DD3">
        <w:rPr>
          <w:rFonts w:ascii="ＭＳ 明朝" w:hAnsi="Times New Roman" w:cs="ＭＳ 明朝" w:hint="eastAsia"/>
          <w:color w:val="000000"/>
          <w:kern w:val="0"/>
          <w:szCs w:val="21"/>
        </w:rPr>
        <w:t>項）を新設した他、従来の規則の運用（弁護士業務等に関する市民窓口規則第</w:t>
      </w:r>
      <w:r w:rsidRPr="00E17DD3">
        <w:rPr>
          <w:rFonts w:ascii="ＭＳ 明朝" w:hAnsi="Times New Roman"/>
          <w:color w:val="000000"/>
          <w:kern w:val="0"/>
          <w:szCs w:val="21"/>
        </w:rPr>
        <w:t>4</w:t>
      </w:r>
      <w:r w:rsidRPr="00E17DD3">
        <w:rPr>
          <w:rFonts w:ascii="ＭＳ 明朝" w:hAnsi="Times New Roman" w:cs="ＭＳ 明朝" w:hint="eastAsia"/>
          <w:color w:val="000000"/>
          <w:kern w:val="0"/>
          <w:szCs w:val="21"/>
        </w:rPr>
        <w:t>条の</w:t>
      </w:r>
      <w:r w:rsidRPr="00E17DD3">
        <w:rPr>
          <w:rFonts w:ascii="ＭＳ 明朝" w:hAnsi="Times New Roman"/>
          <w:color w:val="000000"/>
          <w:kern w:val="0"/>
          <w:szCs w:val="21"/>
        </w:rPr>
        <w:t>2</w:t>
      </w:r>
      <w:r w:rsidRPr="00E17DD3">
        <w:rPr>
          <w:rFonts w:ascii="ＭＳ 明朝" w:hAnsi="Times New Roman" w:cs="ＭＳ 明朝" w:hint="eastAsia"/>
          <w:color w:val="000000"/>
          <w:kern w:val="0"/>
          <w:szCs w:val="21"/>
        </w:rPr>
        <w:t>第</w:t>
      </w:r>
      <w:r w:rsidRPr="00E17DD3">
        <w:rPr>
          <w:rFonts w:ascii="ＭＳ 明朝" w:hAnsi="Times New Roman"/>
          <w:color w:val="000000"/>
          <w:kern w:val="0"/>
          <w:szCs w:val="21"/>
        </w:rPr>
        <w:t>1</w:t>
      </w:r>
      <w:r w:rsidRPr="00E17DD3">
        <w:rPr>
          <w:rFonts w:ascii="ＭＳ 明朝" w:hAnsi="Times New Roman" w:cs="ＭＳ 明朝" w:hint="eastAsia"/>
          <w:color w:val="000000"/>
          <w:kern w:val="0"/>
          <w:szCs w:val="21"/>
        </w:rPr>
        <w:t>項）により、市民窓口委員会内に調査チームを設置し、迅速且つ機動的な調査体制の整備を図った上、不祥事関連委員会連絡協議会の開催、市民窓口への苦情・紛議調停・会費滞納その他関連情報の集約、倫理研修の強化・活性化、会員サポート窓口・業務妨害対策・心の相談ホットラインなどの機能強化その他の対策が押し進められることとなった。</w:t>
      </w:r>
    </w:p>
    <w:p w:rsidR="00E17DD3" w:rsidRPr="001B7CC0" w:rsidRDefault="00E17DD3" w:rsidP="00E17DD3">
      <w:pPr>
        <w:overflowPunct w:val="0"/>
        <w:spacing w:line="406" w:lineRule="exact"/>
        <w:textAlignment w:val="baseline"/>
        <w:rPr>
          <w:rFonts w:ascii="ＭＳ 明朝" w:hAnsi="Times New Roman"/>
          <w:b/>
          <w:color w:val="000000"/>
          <w:spacing w:val="6"/>
          <w:kern w:val="0"/>
          <w:szCs w:val="21"/>
        </w:rPr>
      </w:pPr>
      <w:r w:rsidRPr="001B7CC0">
        <w:rPr>
          <w:rFonts w:ascii="ＭＳ 明朝" w:hAnsi="Times New Roman" w:cs="ＭＳ ゴシック" w:hint="eastAsia"/>
          <w:b/>
          <w:color w:val="000000"/>
          <w:kern w:val="0"/>
          <w:sz w:val="24"/>
          <w:szCs w:val="24"/>
        </w:rPr>
        <w:t>（</w:t>
      </w:r>
      <w:r w:rsidRPr="001B7CC0">
        <w:rPr>
          <w:rFonts w:ascii="ＭＳ 明朝" w:hAnsi="ＭＳ ゴシック" w:cs="ＭＳ ゴシック"/>
          <w:b/>
          <w:color w:val="000000"/>
          <w:spacing w:val="2"/>
          <w:kern w:val="0"/>
          <w:sz w:val="24"/>
          <w:szCs w:val="24"/>
        </w:rPr>
        <w:t>3</w:t>
      </w:r>
      <w:r w:rsidRPr="001B7CC0">
        <w:rPr>
          <w:rFonts w:ascii="ＭＳ 明朝" w:hAnsi="Times New Roman" w:cs="ＭＳ ゴシック" w:hint="eastAsia"/>
          <w:b/>
          <w:color w:val="000000"/>
          <w:kern w:val="0"/>
          <w:sz w:val="24"/>
          <w:szCs w:val="24"/>
        </w:rPr>
        <w:t>）今後の課題</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イギリスにおいて、ソリシターの暴利行為等とロー・ソサイエティがこれに対する苦情処理を適切になし得なかったことが市民の批判に曝され、弁護士自治の一部を失ってしまったことは記憶に新しく、弁護士の不祥事・非行の続発が市民に対する弁護士・弁護士会の信頼を損ね、ひいては弁護士自治制度自体の存続を危機に陥れる可能性があることは明らかである。</w:t>
      </w:r>
    </w:p>
    <w:p w:rsidR="00E17DD3" w:rsidRPr="00E17DD3" w:rsidRDefault="00E17DD3" w:rsidP="00E17DD3">
      <w:pPr>
        <w:overflowPunct w:val="0"/>
        <w:ind w:left="210" w:hangingChars="100" w:hanging="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 xml:space="preserve">　　</w:t>
      </w:r>
      <w:r w:rsidRPr="00E17DD3">
        <w:rPr>
          <w:rFonts w:ascii="ＭＳ 明朝" w:hAnsi="Times New Roman"/>
          <w:color w:val="000000"/>
          <w:kern w:val="0"/>
          <w:szCs w:val="21"/>
        </w:rPr>
        <w:t>2012</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24</w:t>
      </w:r>
      <w:r w:rsidRPr="00E17DD3">
        <w:rPr>
          <w:rFonts w:ascii="ＭＳ 明朝" w:hAnsi="Times New Roman" w:cs="ＭＳ 明朝" w:hint="eastAsia"/>
          <w:color w:val="000000"/>
          <w:kern w:val="0"/>
          <w:szCs w:val="21"/>
        </w:rPr>
        <w:t>）年以来、日弁連・東弁が、預り金管理に関する規制を行うなどの対策を実施したことは、時宜に適した対応として評価できるが、その後も、預り金を着服して逮捕され</w:t>
      </w:r>
      <w:r w:rsidR="00E93DB0">
        <w:rPr>
          <w:rFonts w:ascii="ＭＳ 明朝" w:hAnsi="Times New Roman" w:cs="ＭＳ 明朝" w:hint="eastAsia"/>
          <w:color w:val="000000"/>
          <w:kern w:val="0"/>
          <w:szCs w:val="21"/>
        </w:rPr>
        <w:t>たり懲戒処分を受け</w:t>
      </w:r>
      <w:r w:rsidRPr="00E17DD3">
        <w:rPr>
          <w:rFonts w:ascii="ＭＳ 明朝" w:hAnsi="Times New Roman" w:cs="ＭＳ 明朝" w:hint="eastAsia"/>
          <w:color w:val="000000"/>
          <w:kern w:val="0"/>
          <w:szCs w:val="21"/>
        </w:rPr>
        <w:t>る弁護士が後を絶たず、不祥事事案の</w:t>
      </w:r>
      <w:r w:rsidR="00E93DB0">
        <w:rPr>
          <w:rFonts w:ascii="ＭＳ 明朝" w:hAnsi="Times New Roman" w:cs="ＭＳ 明朝" w:hint="eastAsia"/>
          <w:color w:val="000000"/>
          <w:kern w:val="0"/>
          <w:szCs w:val="21"/>
        </w:rPr>
        <w:t>根絶にはほど遠い状況である</w:t>
      </w:r>
      <w:r w:rsidRPr="00E17DD3">
        <w:rPr>
          <w:rFonts w:ascii="ＭＳ 明朝" w:hAnsi="Times New Roman" w:cs="ＭＳ 明朝" w:hint="eastAsia"/>
          <w:color w:val="000000"/>
          <w:kern w:val="0"/>
          <w:szCs w:val="21"/>
        </w:rPr>
        <w:t>。</w:t>
      </w:r>
    </w:p>
    <w:p w:rsidR="00E17DD3" w:rsidRPr="00E17DD3" w:rsidRDefault="00E17DD3" w:rsidP="00C71383">
      <w:pPr>
        <w:overflowPunct w:val="0"/>
        <w:ind w:left="210" w:hangingChars="100" w:hanging="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 xml:space="preserve">　　</w:t>
      </w:r>
    </w:p>
    <w:p w:rsidR="00E17DD3" w:rsidRPr="00E17DD3" w:rsidRDefault="00203B89" w:rsidP="00E17DD3">
      <w:pPr>
        <w:overflowPunct w:val="0"/>
        <w:ind w:leftChars="100" w:left="210" w:firstLineChars="100" w:firstLine="21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日弁連・東弁の</w:t>
      </w:r>
      <w:r w:rsidR="00E93DB0">
        <w:rPr>
          <w:rFonts w:ascii="ＭＳ 明朝" w:hAnsi="Times New Roman" w:cs="ＭＳ 明朝" w:hint="eastAsia"/>
          <w:color w:val="000000"/>
          <w:kern w:val="0"/>
          <w:szCs w:val="21"/>
        </w:rPr>
        <w:t>これまでの</w:t>
      </w:r>
      <w:r>
        <w:rPr>
          <w:rFonts w:ascii="ＭＳ 明朝" w:hAnsi="Times New Roman" w:cs="ＭＳ 明朝" w:hint="eastAsia"/>
          <w:color w:val="000000"/>
          <w:kern w:val="0"/>
          <w:szCs w:val="21"/>
        </w:rPr>
        <w:t>一連の改革により</w:t>
      </w:r>
      <w:r w:rsidR="00E93DB0">
        <w:rPr>
          <w:rFonts w:ascii="ＭＳ 明朝" w:hAnsi="Times New Roman" w:cs="ＭＳ 明朝" w:hint="eastAsia"/>
          <w:color w:val="000000"/>
          <w:kern w:val="0"/>
          <w:szCs w:val="21"/>
        </w:rPr>
        <w:t>不祥事対策は</w:t>
      </w:r>
      <w:r>
        <w:rPr>
          <w:rFonts w:ascii="ＭＳ 明朝" w:hAnsi="Times New Roman" w:cs="ＭＳ 明朝" w:hint="eastAsia"/>
          <w:color w:val="000000"/>
          <w:kern w:val="0"/>
          <w:szCs w:val="21"/>
        </w:rPr>
        <w:t>一区切り</w:t>
      </w:r>
      <w:r w:rsidR="00E93DB0">
        <w:rPr>
          <w:rFonts w:ascii="ＭＳ 明朝" w:hAnsi="Times New Roman" w:cs="ＭＳ 明朝" w:hint="eastAsia"/>
          <w:color w:val="000000"/>
          <w:kern w:val="0"/>
          <w:szCs w:val="21"/>
        </w:rPr>
        <w:t>を付けた感があり</w:t>
      </w:r>
      <w:r w:rsidR="00E17DD3" w:rsidRPr="00E17DD3">
        <w:rPr>
          <w:rFonts w:ascii="ＭＳ 明朝" w:hAnsi="Times New Roman" w:cs="ＭＳ 明朝" w:hint="eastAsia"/>
          <w:color w:val="000000"/>
          <w:kern w:val="0"/>
          <w:szCs w:val="21"/>
        </w:rPr>
        <w:t>、弁護士の不祥事・非行の予防とその被害の緩和に</w:t>
      </w:r>
      <w:r w:rsidR="00CB29C7">
        <w:rPr>
          <w:rFonts w:ascii="ＭＳ 明朝" w:hAnsi="Times New Roman" w:cs="ＭＳ 明朝" w:hint="eastAsia"/>
          <w:color w:val="000000"/>
          <w:kern w:val="0"/>
          <w:szCs w:val="21"/>
        </w:rPr>
        <w:t>対する</w:t>
      </w:r>
      <w:r w:rsidR="00E17DD3" w:rsidRPr="00E17DD3">
        <w:rPr>
          <w:rFonts w:ascii="ＭＳ 明朝" w:hAnsi="Times New Roman" w:cs="ＭＳ 明朝" w:hint="eastAsia"/>
          <w:color w:val="000000"/>
          <w:kern w:val="0"/>
          <w:szCs w:val="21"/>
        </w:rPr>
        <w:t>一定程度の効果</w:t>
      </w:r>
      <w:r w:rsidR="00CB29C7">
        <w:rPr>
          <w:rFonts w:ascii="ＭＳ 明朝" w:hAnsi="Times New Roman" w:cs="ＭＳ 明朝" w:hint="eastAsia"/>
          <w:color w:val="000000"/>
          <w:kern w:val="0"/>
          <w:szCs w:val="21"/>
        </w:rPr>
        <w:t>と</w:t>
      </w:r>
      <w:r w:rsidR="00E17DD3" w:rsidRPr="00E17DD3">
        <w:rPr>
          <w:rFonts w:ascii="ＭＳ 明朝" w:hAnsi="Times New Roman" w:cs="ＭＳ 明朝" w:hint="eastAsia"/>
          <w:color w:val="000000"/>
          <w:kern w:val="0"/>
          <w:szCs w:val="21"/>
        </w:rPr>
        <w:t>弁護士に対する社会的信頼と弁護士自治制度</w:t>
      </w:r>
      <w:r w:rsidR="00CB29C7">
        <w:rPr>
          <w:rFonts w:ascii="ＭＳ 明朝" w:hAnsi="Times New Roman" w:cs="ＭＳ 明朝" w:hint="eastAsia"/>
          <w:color w:val="000000"/>
          <w:kern w:val="0"/>
          <w:szCs w:val="21"/>
        </w:rPr>
        <w:t>の</w:t>
      </w:r>
      <w:r w:rsidR="00E17DD3" w:rsidRPr="00E17DD3">
        <w:rPr>
          <w:rFonts w:ascii="ＭＳ 明朝" w:hAnsi="Times New Roman" w:cs="ＭＳ 明朝" w:hint="eastAsia"/>
          <w:color w:val="000000"/>
          <w:kern w:val="0"/>
          <w:szCs w:val="21"/>
        </w:rPr>
        <w:t>維持</w:t>
      </w:r>
      <w:r w:rsidR="00CB29C7">
        <w:rPr>
          <w:rFonts w:ascii="ＭＳ 明朝" w:hAnsi="Times New Roman" w:cs="ＭＳ 明朝" w:hint="eastAsia"/>
          <w:color w:val="000000"/>
          <w:kern w:val="0"/>
          <w:szCs w:val="21"/>
        </w:rPr>
        <w:t>を期待することができる</w:t>
      </w:r>
      <w:r w:rsidR="00E17DD3" w:rsidRPr="00E17DD3">
        <w:rPr>
          <w:rFonts w:ascii="ＭＳ 明朝" w:hAnsi="Times New Roman" w:cs="ＭＳ 明朝" w:hint="eastAsia"/>
          <w:color w:val="000000"/>
          <w:kern w:val="0"/>
          <w:szCs w:val="21"/>
        </w:rPr>
        <w:t>。</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w:t>
      </w:r>
      <w:r w:rsidR="00CB29C7">
        <w:rPr>
          <w:rFonts w:ascii="ＭＳ 明朝" w:hAnsi="Times New Roman" w:cs="ＭＳ 明朝" w:hint="eastAsia"/>
          <w:color w:val="000000"/>
          <w:kern w:val="0"/>
          <w:szCs w:val="21"/>
        </w:rPr>
        <w:t>しかし</w:t>
      </w:r>
      <w:r w:rsidRPr="00E17DD3">
        <w:rPr>
          <w:rFonts w:ascii="ＭＳ 明朝" w:hAnsi="Times New Roman" w:cs="ＭＳ 明朝" w:hint="eastAsia"/>
          <w:color w:val="000000"/>
          <w:kern w:val="0"/>
          <w:szCs w:val="21"/>
        </w:rPr>
        <w:t>、弁護士不祥事対策としては、上記の改革に止まることなく、今後も、</w:t>
      </w:r>
      <w:r w:rsidR="00CB29C7">
        <w:rPr>
          <w:rFonts w:ascii="ＭＳ 明朝" w:hAnsi="Times New Roman" w:cs="ＭＳ 明朝" w:hint="eastAsia"/>
          <w:color w:val="000000"/>
          <w:kern w:val="0"/>
          <w:szCs w:val="21"/>
        </w:rPr>
        <w:t>依頼者見舞金制度・預り金取扱い規程等の運用に注視しつつ、</w:t>
      </w:r>
      <w:r w:rsidR="00203B89">
        <w:rPr>
          <w:rFonts w:ascii="ＭＳ 明朝" w:hAnsi="Times New Roman" w:cs="ＭＳ 明朝" w:hint="eastAsia"/>
          <w:color w:val="000000"/>
          <w:kern w:val="0"/>
          <w:szCs w:val="21"/>
        </w:rPr>
        <w:t>諸外国に比して規制度合いが緩やかな我が国の預り金取扱いの継続的検討</w:t>
      </w:r>
      <w:r w:rsidRPr="00E17DD3">
        <w:rPr>
          <w:rFonts w:ascii="ＭＳ 明朝" w:hAnsi="Times New Roman" w:cs="ＭＳ 明朝" w:hint="eastAsia"/>
          <w:color w:val="000000"/>
          <w:kern w:val="0"/>
          <w:szCs w:val="21"/>
        </w:rPr>
        <w:t>を行うなど、非行予防と被害拡大防止の為の方策の更なる検討が必要と考えられる。</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lastRenderedPageBreak/>
        <w:t xml:space="preserve">　　また、</w:t>
      </w:r>
      <w:r w:rsidR="001B7CC0">
        <w:rPr>
          <w:rFonts w:ascii="ＭＳ 明朝" w:hAnsi="Times New Roman" w:cs="ＭＳ 明朝" w:hint="eastAsia"/>
          <w:color w:val="000000"/>
          <w:kern w:val="0"/>
          <w:szCs w:val="21"/>
        </w:rPr>
        <w:t>当</w:t>
      </w:r>
      <w:r w:rsidR="00800C94">
        <w:rPr>
          <w:rFonts w:ascii="ＭＳ 明朝" w:hAnsi="Times New Roman" w:cs="ＭＳ 明朝" w:hint="eastAsia"/>
          <w:color w:val="000000"/>
          <w:kern w:val="0"/>
          <w:szCs w:val="21"/>
        </w:rPr>
        <w:t>会としても</w:t>
      </w:r>
      <w:r w:rsidRPr="00E17DD3">
        <w:rPr>
          <w:rFonts w:ascii="ＭＳ 明朝" w:hAnsi="Times New Roman" w:cs="ＭＳ 明朝" w:hint="eastAsia"/>
          <w:color w:val="000000"/>
          <w:kern w:val="0"/>
          <w:szCs w:val="21"/>
        </w:rPr>
        <w:t>、所属会員による不祥事・非行の予防の為、弁護士倫理の啓発に努め、また、弁護士会における不祥事・非行への対応は担当委員の献身的な努力に支えられているのが実状であり、これに積極的な人材の供給を行う</w:t>
      </w:r>
      <w:r w:rsidR="00800C94">
        <w:rPr>
          <w:rFonts w:ascii="ＭＳ 明朝" w:hAnsi="Times New Roman" w:cs="ＭＳ 明朝" w:hint="eastAsia"/>
          <w:color w:val="000000"/>
          <w:kern w:val="0"/>
          <w:szCs w:val="21"/>
        </w:rPr>
        <w:t>考えで</w:t>
      </w:r>
      <w:r w:rsidRPr="00E17DD3">
        <w:rPr>
          <w:rFonts w:ascii="ＭＳ 明朝" w:hAnsi="Times New Roman" w:cs="ＭＳ 明朝" w:hint="eastAsia"/>
          <w:color w:val="000000"/>
          <w:kern w:val="0"/>
          <w:szCs w:val="21"/>
        </w:rPr>
        <w:t>ある。</w:t>
      </w:r>
    </w:p>
    <w:p w:rsidR="00E17DD3" w:rsidRPr="001B7CC0" w:rsidRDefault="00E17DD3" w:rsidP="00E17DD3">
      <w:pPr>
        <w:overflowPunct w:val="0"/>
        <w:spacing w:line="406" w:lineRule="exact"/>
        <w:textAlignment w:val="baseline"/>
        <w:rPr>
          <w:rFonts w:ascii="ＭＳ 明朝" w:hAnsi="Times New Roman"/>
          <w:b/>
          <w:color w:val="000000"/>
          <w:spacing w:val="6"/>
          <w:kern w:val="0"/>
          <w:szCs w:val="21"/>
        </w:rPr>
      </w:pPr>
      <w:r w:rsidRPr="001B7CC0">
        <w:rPr>
          <w:rFonts w:ascii="ＭＳ 明朝" w:hAnsi="Times New Roman" w:cs="ＭＳ ゴシック" w:hint="eastAsia"/>
          <w:b/>
          <w:color w:val="000000"/>
          <w:kern w:val="0"/>
          <w:sz w:val="24"/>
          <w:szCs w:val="24"/>
        </w:rPr>
        <w:t>（</w:t>
      </w:r>
      <w:r w:rsidRPr="001B7CC0">
        <w:rPr>
          <w:rFonts w:ascii="ＭＳ 明朝" w:hAnsi="ＭＳ ゴシック" w:cs="ＭＳ ゴシック"/>
          <w:b/>
          <w:color w:val="000000"/>
          <w:spacing w:val="2"/>
          <w:kern w:val="0"/>
          <w:sz w:val="24"/>
          <w:szCs w:val="24"/>
        </w:rPr>
        <w:t>4</w:t>
      </w:r>
      <w:r w:rsidRPr="001B7CC0">
        <w:rPr>
          <w:rFonts w:ascii="ＭＳ 明朝" w:hAnsi="Times New Roman" w:cs="ＭＳ ゴシック" w:hint="eastAsia"/>
          <w:b/>
          <w:color w:val="000000"/>
          <w:kern w:val="0"/>
          <w:sz w:val="24"/>
          <w:szCs w:val="24"/>
        </w:rPr>
        <w:t>）非弁提携事案の現状と対策</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弁護士が非弁業者と提携して事件の周旋を受ける、いわゆる非弁提携事案について、</w:t>
      </w:r>
      <w:r w:rsidRPr="00E17DD3">
        <w:rPr>
          <w:rFonts w:ascii="ＭＳ 明朝" w:hAnsi="Times New Roman"/>
          <w:color w:val="000000"/>
          <w:kern w:val="0"/>
          <w:szCs w:val="21"/>
        </w:rPr>
        <w:t>2002</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14</w:t>
      </w:r>
      <w:r w:rsidRPr="00E17DD3">
        <w:rPr>
          <w:rFonts w:ascii="ＭＳ 明朝" w:hAnsi="Times New Roman" w:cs="ＭＳ 明朝" w:hint="eastAsia"/>
          <w:color w:val="000000"/>
          <w:kern w:val="0"/>
          <w:szCs w:val="21"/>
        </w:rPr>
        <w:t>）年</w:t>
      </w:r>
      <w:r w:rsidRPr="00E17DD3">
        <w:rPr>
          <w:rFonts w:ascii="ＭＳ 明朝" w:hAnsi="Times New Roman"/>
          <w:color w:val="000000"/>
          <w:kern w:val="0"/>
          <w:szCs w:val="21"/>
        </w:rPr>
        <w:t>2</w:t>
      </w:r>
      <w:r w:rsidRPr="00E17DD3">
        <w:rPr>
          <w:rFonts w:ascii="ＭＳ 明朝" w:hAnsi="Times New Roman" w:cs="ＭＳ 明朝" w:hint="eastAsia"/>
          <w:color w:val="000000"/>
          <w:kern w:val="0"/>
          <w:szCs w:val="21"/>
        </w:rPr>
        <w:t>月</w:t>
      </w:r>
      <w:r w:rsidRPr="00E17DD3">
        <w:rPr>
          <w:rFonts w:ascii="ＭＳ 明朝" w:hAnsi="Times New Roman"/>
          <w:color w:val="000000"/>
          <w:kern w:val="0"/>
          <w:szCs w:val="21"/>
        </w:rPr>
        <w:t>28</w:t>
      </w:r>
      <w:r w:rsidRPr="00E17DD3">
        <w:rPr>
          <w:rFonts w:ascii="ＭＳ 明朝" w:hAnsi="Times New Roman" w:cs="ＭＳ 明朝" w:hint="eastAsia"/>
          <w:color w:val="000000"/>
          <w:kern w:val="0"/>
          <w:szCs w:val="21"/>
        </w:rPr>
        <w:t>日、日弁連は、「多重債務処理事件にかかる非弁提携行為の防止に関する規程」を制定し、その根絶を目指してきた。</w:t>
      </w:r>
    </w:p>
    <w:p w:rsidR="00E17DD3" w:rsidRPr="00E17DD3" w:rsidRDefault="00E17DD3" w:rsidP="00E17DD3">
      <w:pPr>
        <w:overflowPunct w:val="0"/>
        <w:ind w:left="210" w:hangingChars="100" w:hanging="210"/>
        <w:textAlignment w:val="baseline"/>
        <w:rPr>
          <w:rFonts w:ascii="ＭＳ 明朝" w:hAnsi="Times New Roman"/>
          <w:color w:val="000000"/>
          <w:spacing w:val="6"/>
          <w:kern w:val="0"/>
          <w:szCs w:val="21"/>
        </w:rPr>
      </w:pPr>
      <w:r w:rsidRPr="00E17DD3">
        <w:rPr>
          <w:rFonts w:ascii="ＭＳ 明朝" w:hAnsi="Times New Roman" w:cs="ＭＳ 明朝" w:hint="eastAsia"/>
          <w:color w:val="000000"/>
          <w:kern w:val="0"/>
          <w:szCs w:val="21"/>
        </w:rPr>
        <w:t xml:space="preserve">　　しかし、最近も、債務整理・過払金請求・インターネットや詐欺的商法による被害賠償などを</w:t>
      </w:r>
      <w:r w:rsidR="00C71383">
        <w:rPr>
          <w:rFonts w:ascii="ＭＳ 明朝" w:hAnsi="Times New Roman" w:cs="ＭＳ 明朝" w:hint="eastAsia"/>
          <w:color w:val="000000"/>
          <w:kern w:val="0"/>
          <w:szCs w:val="21"/>
        </w:rPr>
        <w:t>謳った</w:t>
      </w:r>
      <w:r w:rsidRPr="00E17DD3">
        <w:rPr>
          <w:rFonts w:ascii="ＭＳ 明朝" w:hAnsi="Times New Roman" w:cs="ＭＳ 明朝" w:hint="eastAsia"/>
          <w:color w:val="000000"/>
          <w:kern w:val="0"/>
          <w:szCs w:val="21"/>
        </w:rPr>
        <w:t>インターネット広告を利用し、ＮＧＯ・ＮＰＯ法人・広告業者・貸金業者から顧客紹介を受けてい</w:t>
      </w:r>
      <w:bookmarkStart w:id="0" w:name="_GoBack"/>
      <w:bookmarkEnd w:id="0"/>
      <w:r w:rsidRPr="00E17DD3">
        <w:rPr>
          <w:rFonts w:ascii="ＭＳ 明朝" w:hAnsi="Times New Roman" w:cs="ＭＳ 明朝" w:hint="eastAsia"/>
          <w:color w:val="000000"/>
          <w:kern w:val="0"/>
          <w:szCs w:val="21"/>
        </w:rPr>
        <w:t>るケースや、更には非弁業者が実質的に事務所経営を支配していると思われるケースが後を絶たない。</w:t>
      </w:r>
    </w:p>
    <w:p w:rsidR="00E17DD3" w:rsidRPr="00E17DD3" w:rsidRDefault="00E17DD3" w:rsidP="00E17DD3">
      <w:pPr>
        <w:overflowPunct w:val="0"/>
        <w:ind w:left="210" w:hangingChars="100" w:hanging="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 xml:space="preserve">　　非弁提携事案は、弁護士による法律事務の独占だけでなく、市民の公正円滑な法律生活と法律秩序を侵すもので、絶対に容認できないものであって、弁護士会は、従前以上に、非弁提携事案の厳正な取り締まりを行う必要がある。</w:t>
      </w:r>
    </w:p>
    <w:p w:rsidR="00E17DD3" w:rsidRPr="00E17DD3" w:rsidRDefault="00E17DD3" w:rsidP="00E17DD3">
      <w:pPr>
        <w:overflowPunct w:val="0"/>
        <w:ind w:leftChars="100" w:left="210" w:firstLineChars="100" w:firstLine="210"/>
        <w:textAlignment w:val="baseline"/>
        <w:rPr>
          <w:rFonts w:ascii="ＭＳ 明朝" w:hAnsi="Times New Roman" w:cs="ＭＳ 明朝"/>
          <w:color w:val="000000"/>
          <w:kern w:val="0"/>
          <w:szCs w:val="21"/>
        </w:rPr>
      </w:pPr>
      <w:r w:rsidRPr="00E17DD3">
        <w:rPr>
          <w:rFonts w:ascii="ＭＳ 明朝" w:hAnsi="Times New Roman" w:cs="ＭＳ 明朝" w:hint="eastAsia"/>
          <w:color w:val="000000"/>
          <w:kern w:val="0"/>
          <w:szCs w:val="21"/>
        </w:rPr>
        <w:t>東弁では、</w:t>
      </w:r>
      <w:r w:rsidRPr="00E17DD3">
        <w:rPr>
          <w:rFonts w:ascii="ＭＳ 明朝" w:hAnsi="Times New Roman"/>
          <w:color w:val="000000"/>
          <w:kern w:val="0"/>
          <w:szCs w:val="21"/>
        </w:rPr>
        <w:t>201</w:t>
      </w:r>
      <w:r w:rsidRPr="00E17DD3">
        <w:rPr>
          <w:rFonts w:ascii="ＭＳ 明朝" w:hAnsi="Times New Roman" w:hint="eastAsia"/>
          <w:color w:val="000000"/>
          <w:kern w:val="0"/>
          <w:szCs w:val="21"/>
        </w:rPr>
        <w:t>6</w:t>
      </w:r>
      <w:r w:rsidRPr="00E17DD3">
        <w:rPr>
          <w:rFonts w:ascii="ＭＳ 明朝" w:hAnsi="Times New Roman" w:cs="ＭＳ 明朝" w:hint="eastAsia"/>
          <w:color w:val="000000"/>
          <w:kern w:val="0"/>
          <w:szCs w:val="21"/>
        </w:rPr>
        <w:t>（平成</w:t>
      </w:r>
      <w:r w:rsidRPr="00E17DD3">
        <w:rPr>
          <w:rFonts w:ascii="ＭＳ 明朝" w:hAnsi="Times New Roman"/>
          <w:color w:val="000000"/>
          <w:kern w:val="0"/>
          <w:szCs w:val="21"/>
        </w:rPr>
        <w:t>2</w:t>
      </w:r>
      <w:r w:rsidRPr="00E17DD3">
        <w:rPr>
          <w:rFonts w:ascii="ＭＳ 明朝" w:hAnsi="Times New Roman" w:hint="eastAsia"/>
          <w:color w:val="000000"/>
          <w:kern w:val="0"/>
          <w:szCs w:val="21"/>
        </w:rPr>
        <w:t>8</w:t>
      </w:r>
      <w:r w:rsidRPr="00E17DD3">
        <w:rPr>
          <w:rFonts w:ascii="ＭＳ 明朝" w:hAnsi="Times New Roman" w:cs="ＭＳ 明朝" w:hint="eastAsia"/>
          <w:color w:val="000000"/>
          <w:kern w:val="0"/>
          <w:szCs w:val="21"/>
        </w:rPr>
        <w:t>）年3月に、調査対象事件を多重債務整理事件に限定している日弁連規程を見直して、調査対象事件を拡大した「非弁提携行為の防止に関する会規」及び「非弁提携行為の防止に関する規則」の制定と「預り金等の取扱いに関する会規」の改正を行った。</w:t>
      </w:r>
    </w:p>
    <w:p w:rsidR="00755A57" w:rsidRDefault="00E17DD3" w:rsidP="00E17DD3">
      <w:r w:rsidRPr="00E17DD3">
        <w:rPr>
          <w:rFonts w:ascii="ＭＳ 明朝" w:hAnsi="Times New Roman" w:cs="ＭＳ 明朝" w:hint="eastAsia"/>
          <w:color w:val="000000"/>
          <w:kern w:val="0"/>
          <w:szCs w:val="21"/>
        </w:rPr>
        <w:t>今後は、新会規などを活用して、非弁提携事案の根絶の為に積極的な対応が進められるべきである。</w:t>
      </w:r>
    </w:p>
    <w:sectPr w:rsidR="00755A57" w:rsidSect="00E17DD3">
      <w:pgSz w:w="11906" w:h="16838"/>
      <w:pgMar w:top="1418"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D3"/>
    <w:rsid w:val="00081EED"/>
    <w:rsid w:val="001B7CC0"/>
    <w:rsid w:val="00203B89"/>
    <w:rsid w:val="00494165"/>
    <w:rsid w:val="00755A57"/>
    <w:rsid w:val="00800C94"/>
    <w:rsid w:val="00C71383"/>
    <w:rsid w:val="00CB29C7"/>
    <w:rsid w:val="00CC6A46"/>
    <w:rsid w:val="00E17DD3"/>
    <w:rsid w:val="00E9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6B92E3-6C19-41B5-80BD-199D8C88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C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7C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2018-01-31T04:40:00Z</dcterms:created>
  <dcterms:modified xsi:type="dcterms:W3CDTF">2018-01-31T04:40:00Z</dcterms:modified>
</cp:coreProperties>
</file>