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D91" w:rsidRPr="00047524" w:rsidRDefault="00E77251">
      <w:pPr>
        <w:rPr>
          <w:rFonts w:asciiTheme="minorEastAsia" w:hAnsiTheme="minorEastAsia"/>
          <w:b/>
        </w:rPr>
      </w:pPr>
      <w:r>
        <w:rPr>
          <w:rFonts w:asciiTheme="minorEastAsia" w:hAnsiTheme="minorEastAsia" w:hint="eastAsia"/>
          <w:b/>
          <w:sz w:val="24"/>
        </w:rPr>
        <w:t>５</w:t>
      </w:r>
      <w:r w:rsidR="005168AE" w:rsidRPr="00047524">
        <w:rPr>
          <w:rFonts w:asciiTheme="minorEastAsia" w:hAnsiTheme="minorEastAsia" w:hint="eastAsia"/>
          <w:b/>
          <w:sz w:val="24"/>
        </w:rPr>
        <w:t xml:space="preserve">　</w:t>
      </w:r>
      <w:r w:rsidR="007B37EE" w:rsidRPr="00047524">
        <w:rPr>
          <w:rFonts w:asciiTheme="minorEastAsia" w:hAnsiTheme="minorEastAsia" w:hint="eastAsia"/>
          <w:b/>
          <w:sz w:val="24"/>
        </w:rPr>
        <w:t>民事司法改革</w:t>
      </w:r>
    </w:p>
    <w:p w:rsidR="009B5C7D" w:rsidRPr="00047524" w:rsidRDefault="009B5C7D" w:rsidP="009B5C7D">
      <w:pPr>
        <w:rPr>
          <w:rFonts w:asciiTheme="minorEastAsia" w:hAnsiTheme="minorEastAsia"/>
        </w:rPr>
      </w:pPr>
    </w:p>
    <w:p w:rsidR="009B5C7D" w:rsidRPr="00E77251" w:rsidRDefault="00A13D91" w:rsidP="009B5C7D">
      <w:pPr>
        <w:rPr>
          <w:rFonts w:asciiTheme="minorEastAsia" w:hAnsiTheme="minorEastAsia"/>
          <w:b/>
        </w:rPr>
      </w:pPr>
      <w:r w:rsidRPr="00E77251">
        <w:rPr>
          <w:rFonts w:asciiTheme="minorEastAsia" w:hAnsiTheme="minorEastAsia" w:hint="eastAsia"/>
          <w:b/>
        </w:rPr>
        <w:t>⑴</w:t>
      </w:r>
      <w:r w:rsidR="009B5C7D" w:rsidRPr="00E77251">
        <w:rPr>
          <w:rFonts w:asciiTheme="minorEastAsia" w:hAnsiTheme="minorEastAsia" w:hint="eastAsia"/>
          <w:b/>
        </w:rPr>
        <w:t xml:space="preserve">　</w:t>
      </w:r>
      <w:r w:rsidR="00A57BAF" w:rsidRPr="00E77251">
        <w:rPr>
          <w:rFonts w:asciiTheme="minorEastAsia" w:hAnsiTheme="minorEastAsia" w:hint="eastAsia"/>
          <w:b/>
        </w:rPr>
        <w:t>執行</w:t>
      </w:r>
      <w:r w:rsidR="009B5C7D" w:rsidRPr="00E77251">
        <w:rPr>
          <w:rFonts w:asciiTheme="minorEastAsia" w:hAnsiTheme="minorEastAsia" w:hint="eastAsia"/>
          <w:b/>
        </w:rPr>
        <w:t>法改正</w:t>
      </w:r>
    </w:p>
    <w:p w:rsidR="004106E8" w:rsidRPr="00047524" w:rsidRDefault="00A13D91" w:rsidP="00047524">
      <w:pPr>
        <w:ind w:firstLineChars="100" w:firstLine="222"/>
        <w:rPr>
          <w:rFonts w:asciiTheme="minorEastAsia" w:hAnsiTheme="minorEastAsia"/>
          <w:szCs w:val="21"/>
        </w:rPr>
      </w:pPr>
      <w:r>
        <w:rPr>
          <w:rFonts w:asciiTheme="minorEastAsia" w:hAnsiTheme="minorEastAsia" w:hint="eastAsia"/>
          <w:szCs w:val="21"/>
        </w:rPr>
        <w:t xml:space="preserve">ア　</w:t>
      </w:r>
      <w:r w:rsidR="004106E8" w:rsidRPr="00047524">
        <w:rPr>
          <w:rFonts w:asciiTheme="minorEastAsia" w:hAnsiTheme="minorEastAsia" w:hint="eastAsia"/>
          <w:szCs w:val="21"/>
        </w:rPr>
        <w:t>財産開示手続の改正について</w:t>
      </w:r>
    </w:p>
    <w:p w:rsidR="004106E8" w:rsidRPr="00047524" w:rsidRDefault="00A13D91" w:rsidP="00047524">
      <w:pPr>
        <w:ind w:firstLineChars="107" w:firstLine="238"/>
        <w:rPr>
          <w:rFonts w:asciiTheme="minorEastAsia" w:hAnsiTheme="minorEastAsia"/>
          <w:szCs w:val="21"/>
        </w:rPr>
      </w:pPr>
      <w:r>
        <w:rPr>
          <w:rFonts w:asciiTheme="minorEastAsia" w:hAnsiTheme="minorEastAsia"/>
          <w:szCs w:val="21"/>
        </w:rPr>
        <w:t>(</w:t>
      </w:r>
      <w:r w:rsidR="009B5C7D" w:rsidRPr="00047524">
        <w:rPr>
          <w:rFonts w:asciiTheme="minorEastAsia" w:hAnsiTheme="minorEastAsia" w:hint="eastAsia"/>
          <w:szCs w:val="21"/>
        </w:rPr>
        <w:t>ア</w:t>
      </w:r>
      <w:r>
        <w:rPr>
          <w:rFonts w:asciiTheme="minorEastAsia" w:hAnsiTheme="minorEastAsia" w:hint="eastAsia"/>
          <w:szCs w:val="21"/>
        </w:rPr>
        <w:t>)</w:t>
      </w:r>
      <w:r w:rsidR="009B5C7D" w:rsidRPr="00047524">
        <w:rPr>
          <w:rFonts w:asciiTheme="minorEastAsia" w:hAnsiTheme="minorEastAsia" w:hint="eastAsia"/>
          <w:szCs w:val="21"/>
        </w:rPr>
        <w:t xml:space="preserve">　</w:t>
      </w:r>
      <w:r w:rsidR="004106E8" w:rsidRPr="00047524">
        <w:rPr>
          <w:rFonts w:asciiTheme="minorEastAsia" w:hAnsiTheme="minorEastAsia" w:hint="eastAsia"/>
          <w:szCs w:val="21"/>
        </w:rPr>
        <w:t>見直しの必要性</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財産開示手続（民事執行法4章）は金銭債権についての強制執行の実効性を確保する目的で2003（平成15）年の民事執行法改正により創設されたが、債務者が出頭しない例もある状況にあり、債権回収という制度の実効性には疑問が残るところである。</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現に利用件数も多いとはいえない状況であって、実効性向上のための見直しを行う必要があると考えられる。</w:t>
      </w:r>
    </w:p>
    <w:p w:rsidR="004106E8" w:rsidRPr="00047524" w:rsidRDefault="00A13D91" w:rsidP="00047524">
      <w:pPr>
        <w:ind w:firstLineChars="107" w:firstLine="238"/>
        <w:rPr>
          <w:rFonts w:asciiTheme="minorEastAsia" w:hAnsiTheme="minorEastAsia"/>
          <w:szCs w:val="21"/>
        </w:rPr>
      </w:pPr>
      <w:r>
        <w:rPr>
          <w:rFonts w:asciiTheme="minorEastAsia" w:hAnsiTheme="minorEastAsia" w:hint="eastAsia"/>
          <w:szCs w:val="21"/>
        </w:rPr>
        <w:t>(</w:t>
      </w:r>
      <w:r w:rsidR="009B5C7D" w:rsidRPr="00047524">
        <w:rPr>
          <w:rFonts w:asciiTheme="minorEastAsia" w:hAnsiTheme="minorEastAsia" w:hint="eastAsia"/>
          <w:szCs w:val="21"/>
        </w:rPr>
        <w:t>イ</w:t>
      </w:r>
      <w:r>
        <w:rPr>
          <w:rFonts w:asciiTheme="minorEastAsia" w:hAnsiTheme="minorEastAsia" w:hint="eastAsia"/>
          <w:szCs w:val="21"/>
        </w:rPr>
        <w:t>)</w:t>
      </w:r>
      <w:r w:rsidR="009B5C7D" w:rsidRPr="00047524">
        <w:rPr>
          <w:rFonts w:asciiTheme="minorEastAsia" w:hAnsiTheme="minorEastAsia" w:hint="eastAsia"/>
          <w:szCs w:val="21"/>
        </w:rPr>
        <w:t xml:space="preserve">　</w:t>
      </w:r>
      <w:r w:rsidR="004106E8" w:rsidRPr="00047524">
        <w:rPr>
          <w:rFonts w:asciiTheme="minorEastAsia" w:hAnsiTheme="minorEastAsia" w:hint="eastAsia"/>
          <w:szCs w:val="21"/>
        </w:rPr>
        <w:t>不出頭、陳述拒否、虚偽陳述に対する制裁の強化</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2017（平成29）年9月8日に法制審議会で取りまとめられた「民事執行法改正に関する中間試案」（以下「中間試案」という。）でも、開示義務者の不出頭、陳述拒否、虚偽陳述（以下これらの行為を「不出頭等」という。）に対する罰則を強化することとされている。</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どのように制裁を強化するかについては罰金刑にとどめるという考えもあるが、罰金刑に処せられた開示義務者が開示を拒否した財産から罰金を国庫に納付するという結果は不合理であろう。債権者へ債務が履行されるものではないからである。</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したがって、財産開示制度の実効性を確保するためには、不出頭等に対する制裁を強化することが必要であると考える。</w:t>
      </w:r>
    </w:p>
    <w:p w:rsidR="004106E8" w:rsidRPr="00047524" w:rsidRDefault="00A13D91" w:rsidP="00047524">
      <w:pPr>
        <w:ind w:firstLineChars="107" w:firstLine="238"/>
        <w:rPr>
          <w:rFonts w:asciiTheme="minorEastAsia" w:hAnsiTheme="minorEastAsia"/>
          <w:szCs w:val="21"/>
        </w:rPr>
      </w:pPr>
      <w:r>
        <w:rPr>
          <w:rFonts w:asciiTheme="minorEastAsia" w:hAnsiTheme="minorEastAsia" w:hint="eastAsia"/>
          <w:szCs w:val="21"/>
        </w:rPr>
        <w:t>(</w:t>
      </w:r>
      <w:r w:rsidR="009B5C7D" w:rsidRPr="00047524">
        <w:rPr>
          <w:rFonts w:asciiTheme="minorEastAsia" w:hAnsiTheme="minorEastAsia" w:hint="eastAsia"/>
          <w:szCs w:val="21"/>
        </w:rPr>
        <w:t>ウ</w:t>
      </w:r>
      <w:r>
        <w:rPr>
          <w:rFonts w:asciiTheme="minorEastAsia" w:hAnsiTheme="minorEastAsia" w:hint="eastAsia"/>
          <w:szCs w:val="21"/>
        </w:rPr>
        <w:t>)</w:t>
      </w:r>
      <w:r w:rsidR="009B5C7D" w:rsidRPr="00047524">
        <w:rPr>
          <w:rFonts w:asciiTheme="minorEastAsia" w:hAnsiTheme="minorEastAsia" w:hint="eastAsia"/>
          <w:szCs w:val="21"/>
        </w:rPr>
        <w:t xml:space="preserve">　</w:t>
      </w:r>
      <w:r w:rsidR="004106E8" w:rsidRPr="00047524">
        <w:rPr>
          <w:rFonts w:asciiTheme="minorEastAsia" w:hAnsiTheme="minorEastAsia" w:hint="eastAsia"/>
          <w:szCs w:val="21"/>
        </w:rPr>
        <w:t>実施要件の見直しに関して</w:t>
      </w:r>
    </w:p>
    <w:p w:rsidR="004106E8" w:rsidRPr="00047524" w:rsidRDefault="00A13D91" w:rsidP="00047524">
      <w:pPr>
        <w:ind w:leftChars="200" w:left="445" w:firstLineChars="159" w:firstLine="354"/>
        <w:rPr>
          <w:rFonts w:asciiTheme="minorEastAsia" w:hAnsiTheme="minorEastAsia"/>
          <w:szCs w:val="21"/>
        </w:rPr>
      </w:pPr>
      <w:r>
        <w:rPr>
          <w:rFonts w:asciiTheme="minorEastAsia" w:hAnsiTheme="minorEastAsia" w:hint="eastAsia"/>
          <w:szCs w:val="21"/>
        </w:rPr>
        <w:t xml:space="preserve">a　</w:t>
      </w:r>
      <w:r w:rsidR="004106E8" w:rsidRPr="00047524">
        <w:rPr>
          <w:rFonts w:asciiTheme="minorEastAsia" w:hAnsiTheme="minorEastAsia" w:hint="eastAsia"/>
          <w:szCs w:val="21"/>
        </w:rPr>
        <w:t>申立てに必要とされる債務名義の種類の拡大について</w:t>
      </w:r>
    </w:p>
    <w:p w:rsidR="004106E8" w:rsidRPr="00047524" w:rsidRDefault="004106E8" w:rsidP="00047524">
      <w:pPr>
        <w:ind w:leftChars="403" w:left="896" w:firstLineChars="100" w:firstLine="222"/>
        <w:rPr>
          <w:rFonts w:asciiTheme="minorEastAsia" w:hAnsiTheme="minorEastAsia"/>
          <w:szCs w:val="21"/>
        </w:rPr>
      </w:pPr>
      <w:r w:rsidRPr="00047524">
        <w:rPr>
          <w:rFonts w:asciiTheme="minorEastAsia" w:hAnsiTheme="minorEastAsia" w:hint="eastAsia"/>
          <w:szCs w:val="21"/>
        </w:rPr>
        <w:t>現行制度では、確定前の仮執行宣言付判決</w:t>
      </w:r>
      <w:r w:rsidR="00AA323D" w:rsidRPr="00047524">
        <w:rPr>
          <w:rFonts w:asciiTheme="minorEastAsia" w:hAnsiTheme="minorEastAsia" w:hint="eastAsia"/>
          <w:szCs w:val="21"/>
        </w:rPr>
        <w:t>、</w:t>
      </w:r>
      <w:r w:rsidRPr="00047524">
        <w:rPr>
          <w:rFonts w:asciiTheme="minorEastAsia" w:hAnsiTheme="minorEastAsia" w:hint="eastAsia"/>
          <w:szCs w:val="21"/>
        </w:rPr>
        <w:t>仮執行宣言付支払督促</w:t>
      </w:r>
      <w:r w:rsidR="00AA323D" w:rsidRPr="00047524">
        <w:rPr>
          <w:rFonts w:asciiTheme="minorEastAsia" w:hAnsiTheme="minorEastAsia" w:hint="eastAsia"/>
          <w:szCs w:val="21"/>
        </w:rPr>
        <w:t>、</w:t>
      </w:r>
      <w:r w:rsidRPr="00047524">
        <w:rPr>
          <w:rFonts w:asciiTheme="minorEastAsia" w:hAnsiTheme="minorEastAsia" w:hint="eastAsia"/>
          <w:szCs w:val="21"/>
        </w:rPr>
        <w:t>確定した支払督促</w:t>
      </w:r>
      <w:r w:rsidR="00AA323D" w:rsidRPr="00047524">
        <w:rPr>
          <w:rFonts w:asciiTheme="minorEastAsia" w:hAnsiTheme="minorEastAsia" w:hint="eastAsia"/>
          <w:szCs w:val="21"/>
        </w:rPr>
        <w:t>、</w:t>
      </w:r>
      <w:r w:rsidRPr="00047524">
        <w:rPr>
          <w:rFonts w:asciiTheme="minorEastAsia" w:hAnsiTheme="minorEastAsia" w:hint="eastAsia"/>
          <w:szCs w:val="21"/>
        </w:rPr>
        <w:t>執行証書（公正証書）については財産開示手続の申立に必要とされる債務名義から除外されているが、中間試案では、これらの債務名義も含むいずれの債務名義についても財産開示手続の申立ができるようにするものとされている。</w:t>
      </w:r>
    </w:p>
    <w:p w:rsidR="004106E8" w:rsidRPr="00047524" w:rsidRDefault="004106E8" w:rsidP="00047524">
      <w:pPr>
        <w:ind w:leftChars="403" w:left="896" w:firstLineChars="100" w:firstLine="222"/>
        <w:rPr>
          <w:rFonts w:asciiTheme="minorEastAsia" w:hAnsiTheme="minorEastAsia"/>
          <w:szCs w:val="21"/>
        </w:rPr>
      </w:pPr>
      <w:r w:rsidRPr="00047524">
        <w:rPr>
          <w:rFonts w:asciiTheme="minorEastAsia" w:hAnsiTheme="minorEastAsia" w:hint="eastAsia"/>
          <w:szCs w:val="21"/>
        </w:rPr>
        <w:t>しかし、現行法で除外されているこれらの債務名義については、確定判決や和解調書に比べて事後に債務名義に記載された権利の存在が否定される可能性が高いものである。例えば、債権の存在について少なくとも第</w:t>
      </w:r>
      <w:r w:rsidR="006A00DC" w:rsidRPr="00047524">
        <w:rPr>
          <w:rFonts w:asciiTheme="minorEastAsia" w:hAnsiTheme="minorEastAsia" w:hint="eastAsia"/>
          <w:szCs w:val="21"/>
        </w:rPr>
        <w:t>一</w:t>
      </w:r>
      <w:r w:rsidRPr="00047524">
        <w:rPr>
          <w:rFonts w:asciiTheme="minorEastAsia" w:hAnsiTheme="minorEastAsia" w:hint="eastAsia"/>
          <w:szCs w:val="21"/>
        </w:rPr>
        <w:t>審の裁判所が審理済みである仮執行宣言付判決をとってみても、司法統計年報によれば控訴審で判決に至った事例中の原判決取消となった割合は20％を超える水準で推移している。また、公正証書についても、単に印鑑登録証明書と実印での本人確認にとどまることからなりすましによる作成の危険も少なくない。</w:t>
      </w:r>
    </w:p>
    <w:p w:rsidR="004106E8" w:rsidRPr="00047524" w:rsidRDefault="004106E8" w:rsidP="00047524">
      <w:pPr>
        <w:ind w:leftChars="403" w:left="896" w:firstLineChars="100" w:firstLine="222"/>
        <w:rPr>
          <w:rFonts w:asciiTheme="minorEastAsia" w:hAnsiTheme="minorEastAsia"/>
          <w:szCs w:val="21"/>
        </w:rPr>
      </w:pPr>
      <w:r w:rsidRPr="00047524">
        <w:rPr>
          <w:rFonts w:asciiTheme="minorEastAsia" w:hAnsiTheme="minorEastAsia" w:hint="eastAsia"/>
          <w:szCs w:val="21"/>
        </w:rPr>
        <w:t>財産開示手続</w:t>
      </w:r>
      <w:r w:rsidR="003858D3">
        <w:rPr>
          <w:rFonts w:asciiTheme="minorEastAsia" w:hAnsiTheme="minorEastAsia" w:hint="eastAsia"/>
          <w:szCs w:val="21"/>
        </w:rPr>
        <w:t>に</w:t>
      </w:r>
      <w:r w:rsidRPr="00047524">
        <w:rPr>
          <w:rFonts w:asciiTheme="minorEastAsia" w:hAnsiTheme="minorEastAsia" w:hint="eastAsia"/>
          <w:szCs w:val="21"/>
        </w:rPr>
        <w:t>よって情報がいったん開示されてしまえば</w:t>
      </w:r>
      <w:r w:rsidR="003858D3">
        <w:rPr>
          <w:rFonts w:asciiTheme="minorEastAsia" w:hAnsiTheme="minorEastAsia" w:hint="eastAsia"/>
          <w:szCs w:val="21"/>
        </w:rPr>
        <w:t>、</w:t>
      </w:r>
      <w:r w:rsidRPr="00047524">
        <w:rPr>
          <w:rFonts w:asciiTheme="minorEastAsia" w:hAnsiTheme="minorEastAsia" w:hint="eastAsia"/>
          <w:szCs w:val="21"/>
        </w:rPr>
        <w:t>後になって当該情報が開示されなかった状態に回復すること</w:t>
      </w:r>
      <w:r w:rsidR="003858D3">
        <w:rPr>
          <w:rFonts w:asciiTheme="minorEastAsia" w:hAnsiTheme="minorEastAsia" w:hint="eastAsia"/>
          <w:szCs w:val="21"/>
        </w:rPr>
        <w:t>は</w:t>
      </w:r>
      <w:r w:rsidRPr="00047524">
        <w:rPr>
          <w:rFonts w:asciiTheme="minorEastAsia" w:hAnsiTheme="minorEastAsia" w:hint="eastAsia"/>
          <w:szCs w:val="21"/>
        </w:rPr>
        <w:t>できないのであって、開示義務者の不出頭等について懲役刑をもって強制することを前提とするならば、申立てに必要な債務名義の種類を不安定なものにまで拡大すべきでない。</w:t>
      </w:r>
    </w:p>
    <w:p w:rsidR="004106E8" w:rsidRPr="00047524" w:rsidRDefault="004106E8" w:rsidP="00047524">
      <w:pPr>
        <w:ind w:leftChars="403" w:left="896" w:firstLineChars="100" w:firstLine="222"/>
        <w:rPr>
          <w:rFonts w:asciiTheme="minorEastAsia" w:hAnsiTheme="minorEastAsia"/>
          <w:szCs w:val="21"/>
        </w:rPr>
      </w:pPr>
      <w:r w:rsidRPr="00047524">
        <w:rPr>
          <w:rFonts w:asciiTheme="minorEastAsia" w:hAnsiTheme="minorEastAsia" w:hint="eastAsia"/>
          <w:szCs w:val="21"/>
        </w:rPr>
        <w:lastRenderedPageBreak/>
        <w:t>したがって、前項で述べた不出頭等に対する罰則の強化が行われるのであれば、申立てに必要とされる債務名義の種類は現行の制度のままでよいと考える。</w:t>
      </w:r>
    </w:p>
    <w:p w:rsidR="004106E8" w:rsidRPr="00047524" w:rsidRDefault="00A13D91" w:rsidP="00047524">
      <w:pPr>
        <w:ind w:leftChars="200" w:left="445" w:firstLineChars="159" w:firstLine="354"/>
        <w:rPr>
          <w:rFonts w:asciiTheme="minorEastAsia" w:hAnsiTheme="minorEastAsia"/>
          <w:szCs w:val="21"/>
        </w:rPr>
      </w:pPr>
      <w:r>
        <w:rPr>
          <w:rFonts w:asciiTheme="minorEastAsia" w:hAnsiTheme="minorEastAsia"/>
          <w:szCs w:val="21"/>
        </w:rPr>
        <w:t>b</w:t>
      </w:r>
      <w:r>
        <w:rPr>
          <w:rFonts w:asciiTheme="minorEastAsia" w:hAnsiTheme="minorEastAsia" w:hint="eastAsia"/>
          <w:szCs w:val="21"/>
        </w:rPr>
        <w:t xml:space="preserve">　</w:t>
      </w:r>
      <w:r w:rsidR="004106E8" w:rsidRPr="00047524">
        <w:rPr>
          <w:rFonts w:asciiTheme="minorEastAsia" w:hAnsiTheme="minorEastAsia" w:hint="eastAsia"/>
          <w:szCs w:val="21"/>
        </w:rPr>
        <w:t>先に実施した強制執行の不奏功等の要件の見直しに関して</w:t>
      </w:r>
    </w:p>
    <w:p w:rsidR="004106E8" w:rsidRPr="00047524" w:rsidRDefault="004106E8" w:rsidP="00047524">
      <w:pPr>
        <w:ind w:leftChars="403" w:left="896" w:firstLineChars="100" w:firstLine="222"/>
        <w:rPr>
          <w:rFonts w:asciiTheme="minorEastAsia" w:hAnsiTheme="minorEastAsia"/>
          <w:szCs w:val="21"/>
        </w:rPr>
      </w:pPr>
      <w:r w:rsidRPr="00047524">
        <w:rPr>
          <w:rFonts w:asciiTheme="minorEastAsia" w:hAnsiTheme="minorEastAsia" w:hint="eastAsia"/>
          <w:szCs w:val="21"/>
        </w:rPr>
        <w:t>強制執行の不奏功等の要件（民事執行法197条1項1号、2号）について、この要件を削除し、原則として強制執行開始要件が備わっていれば財産開示決定を行うことにすべきという意見がある。</w:t>
      </w:r>
    </w:p>
    <w:p w:rsidR="004106E8" w:rsidRPr="00047524" w:rsidRDefault="004106E8" w:rsidP="00047524">
      <w:pPr>
        <w:ind w:leftChars="403" w:left="896" w:firstLineChars="100" w:firstLine="222"/>
        <w:rPr>
          <w:rFonts w:asciiTheme="minorEastAsia" w:hAnsiTheme="minorEastAsia"/>
          <w:szCs w:val="21"/>
        </w:rPr>
      </w:pPr>
      <w:r w:rsidRPr="00047524">
        <w:rPr>
          <w:rFonts w:asciiTheme="minorEastAsia" w:hAnsiTheme="minorEastAsia" w:hint="eastAsia"/>
          <w:szCs w:val="21"/>
        </w:rPr>
        <w:t>しかし、財産開示手続は債務者のプライバシーや営業秘密等に属する事項の開示を求めるものであって、懲役刑を含む刑罰によって開示を強制するのであれば、財産開示手続を実施する必要性に関する審査は必要だと考えられる。現行の制度のままでも、実際の運用としては、民事執行法197条1項2号の要件充足のために求められる調査の程度はそれほど高くはないといえる。</w:t>
      </w:r>
    </w:p>
    <w:p w:rsidR="004106E8" w:rsidRPr="00E77251" w:rsidRDefault="00A13D91" w:rsidP="00047524">
      <w:pPr>
        <w:ind w:firstLineChars="100" w:firstLine="222"/>
        <w:rPr>
          <w:rFonts w:asciiTheme="minorEastAsia" w:hAnsiTheme="minorEastAsia"/>
          <w:szCs w:val="21"/>
        </w:rPr>
      </w:pPr>
      <w:r w:rsidRPr="00E77251">
        <w:rPr>
          <w:rFonts w:asciiTheme="minorEastAsia" w:hAnsiTheme="minorEastAsia" w:hint="eastAsia"/>
          <w:szCs w:val="21"/>
        </w:rPr>
        <w:t>イ</w:t>
      </w:r>
      <w:r w:rsidR="00E77251">
        <w:rPr>
          <w:rFonts w:asciiTheme="minorEastAsia" w:hAnsiTheme="minorEastAsia" w:hint="eastAsia"/>
          <w:szCs w:val="21"/>
        </w:rPr>
        <w:t xml:space="preserve">　</w:t>
      </w:r>
      <w:r w:rsidR="004106E8" w:rsidRPr="00E77251">
        <w:rPr>
          <w:rFonts w:asciiTheme="minorEastAsia" w:hAnsiTheme="minorEastAsia" w:hint="eastAsia"/>
          <w:szCs w:val="21"/>
        </w:rPr>
        <w:t>第三者照会制度</w:t>
      </w:r>
    </w:p>
    <w:p w:rsidR="004106E8" w:rsidRPr="00047524" w:rsidRDefault="00A13D91" w:rsidP="00047524">
      <w:pPr>
        <w:ind w:firstLineChars="100" w:firstLine="222"/>
        <w:rPr>
          <w:rFonts w:asciiTheme="minorEastAsia" w:hAnsiTheme="minorEastAsia"/>
          <w:szCs w:val="21"/>
        </w:rPr>
      </w:pPr>
      <w:r>
        <w:rPr>
          <w:rFonts w:asciiTheme="minorEastAsia" w:hAnsiTheme="minorEastAsia" w:hint="eastAsia"/>
          <w:szCs w:val="21"/>
        </w:rPr>
        <w:t>(</w:t>
      </w:r>
      <w:r w:rsidR="009B5C7D" w:rsidRPr="00047524">
        <w:rPr>
          <w:rFonts w:asciiTheme="minorEastAsia" w:hAnsiTheme="minorEastAsia" w:hint="eastAsia"/>
          <w:szCs w:val="21"/>
        </w:rPr>
        <w:t>ア</w:t>
      </w:r>
      <w:r>
        <w:rPr>
          <w:rFonts w:asciiTheme="minorEastAsia" w:hAnsiTheme="minorEastAsia" w:hint="eastAsia"/>
          <w:szCs w:val="21"/>
        </w:rPr>
        <w:t>)</w:t>
      </w:r>
      <w:r w:rsidR="009B5C7D" w:rsidRPr="00047524">
        <w:rPr>
          <w:rFonts w:asciiTheme="minorEastAsia" w:hAnsiTheme="minorEastAsia" w:hint="eastAsia"/>
          <w:szCs w:val="21"/>
        </w:rPr>
        <w:t xml:space="preserve">　</w:t>
      </w:r>
      <w:r w:rsidR="004106E8" w:rsidRPr="00047524">
        <w:rPr>
          <w:rFonts w:asciiTheme="minorEastAsia" w:hAnsiTheme="minorEastAsia" w:hint="eastAsia"/>
          <w:szCs w:val="21"/>
        </w:rPr>
        <w:t>第三者照会制度創設の必要性</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中間試案では、執行裁判所が、債権者からの申立てにより、債務者以外の第三者に対し、債務者財産に関する情報の提供を求める制度（以下「第三者照会制度」という。）を新たに創設するものとされている。</w:t>
      </w:r>
    </w:p>
    <w:p w:rsidR="004106E8" w:rsidRPr="00047524" w:rsidRDefault="00230955"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(1)</w:t>
      </w:r>
      <w:r w:rsidR="004106E8" w:rsidRPr="00047524">
        <w:rPr>
          <w:rFonts w:asciiTheme="minorEastAsia" w:hAnsiTheme="minorEastAsia" w:hint="eastAsia"/>
          <w:szCs w:val="21"/>
        </w:rPr>
        <w:t>で提言したように、財産開示制度の罰則を強化したとしても、そもそも財産開示制度は債務者の申述に依拠することから、財産調査のための制度としては限界がある。このため、第三者照会制度の創設には賛成である。</w:t>
      </w:r>
    </w:p>
    <w:p w:rsidR="004106E8" w:rsidRPr="00047524" w:rsidRDefault="00A13D91" w:rsidP="00047524">
      <w:pPr>
        <w:ind w:firstLineChars="113" w:firstLine="251"/>
        <w:rPr>
          <w:rFonts w:asciiTheme="minorEastAsia" w:hAnsiTheme="minorEastAsia"/>
          <w:szCs w:val="21"/>
        </w:rPr>
      </w:pPr>
      <w:r>
        <w:rPr>
          <w:rFonts w:asciiTheme="minorEastAsia" w:hAnsiTheme="minorEastAsia" w:hint="eastAsia"/>
          <w:szCs w:val="21"/>
        </w:rPr>
        <w:t>(</w:t>
      </w:r>
      <w:r w:rsidR="009B5C7D" w:rsidRPr="00047524">
        <w:rPr>
          <w:rFonts w:asciiTheme="minorEastAsia" w:hAnsiTheme="minorEastAsia" w:hint="eastAsia"/>
          <w:szCs w:val="21"/>
        </w:rPr>
        <w:t>イ</w:t>
      </w:r>
      <w:r>
        <w:rPr>
          <w:rFonts w:asciiTheme="minorEastAsia" w:hAnsiTheme="minorEastAsia" w:hint="eastAsia"/>
          <w:szCs w:val="21"/>
        </w:rPr>
        <w:t>)</w:t>
      </w:r>
      <w:r w:rsidR="009B5C7D" w:rsidRPr="00047524">
        <w:rPr>
          <w:rFonts w:asciiTheme="minorEastAsia" w:hAnsiTheme="minorEastAsia" w:hint="eastAsia"/>
          <w:szCs w:val="21"/>
        </w:rPr>
        <w:t xml:space="preserve">　</w:t>
      </w:r>
      <w:r w:rsidR="004106E8" w:rsidRPr="00047524">
        <w:rPr>
          <w:rFonts w:asciiTheme="minorEastAsia" w:hAnsiTheme="minorEastAsia" w:hint="eastAsia"/>
          <w:szCs w:val="21"/>
        </w:rPr>
        <w:t>制度の対象とする第三者と情報の具体的な範囲について</w:t>
      </w:r>
    </w:p>
    <w:p w:rsidR="004106E8" w:rsidRPr="00047524" w:rsidRDefault="00A13D91" w:rsidP="00047524">
      <w:pPr>
        <w:ind w:leftChars="319" w:left="939" w:hangingChars="103" w:hanging="229"/>
        <w:rPr>
          <w:rFonts w:asciiTheme="minorEastAsia" w:hAnsiTheme="minorEastAsia"/>
          <w:szCs w:val="21"/>
        </w:rPr>
      </w:pPr>
      <w:r>
        <w:rPr>
          <w:rFonts w:asciiTheme="minorEastAsia" w:hAnsiTheme="minorEastAsia"/>
          <w:szCs w:val="21"/>
        </w:rPr>
        <w:t xml:space="preserve">a </w:t>
      </w:r>
      <w:r w:rsidR="004106E8" w:rsidRPr="00047524">
        <w:rPr>
          <w:rFonts w:asciiTheme="minorEastAsia" w:hAnsiTheme="minorEastAsia" w:hint="eastAsia"/>
          <w:szCs w:val="21"/>
        </w:rPr>
        <w:t>中間試案では、金融機関から債務者の預貯金に関する情報を取得する制度及び一定の公的機関から債務者の給与債権に関する情報を取得する制度を設けるものとされている。</w:t>
      </w:r>
    </w:p>
    <w:p w:rsidR="004106E8" w:rsidRPr="00047524" w:rsidRDefault="00A13D91" w:rsidP="00047524">
      <w:pPr>
        <w:ind w:leftChars="319" w:left="939" w:hangingChars="103" w:hanging="229"/>
        <w:rPr>
          <w:rFonts w:asciiTheme="minorEastAsia" w:hAnsiTheme="minorEastAsia"/>
          <w:szCs w:val="21"/>
        </w:rPr>
      </w:pPr>
      <w:r>
        <w:rPr>
          <w:rFonts w:asciiTheme="minorEastAsia" w:hAnsiTheme="minorEastAsia"/>
          <w:szCs w:val="21"/>
        </w:rPr>
        <w:t>b</w:t>
      </w:r>
      <w:r>
        <w:rPr>
          <w:rFonts w:asciiTheme="minorEastAsia" w:hAnsiTheme="minorEastAsia" w:hint="eastAsia"/>
          <w:szCs w:val="21"/>
        </w:rPr>
        <w:t xml:space="preserve"> </w:t>
      </w:r>
      <w:r w:rsidR="004106E8" w:rsidRPr="00047524">
        <w:rPr>
          <w:rFonts w:asciiTheme="minorEastAsia" w:hAnsiTheme="minorEastAsia" w:hint="eastAsia"/>
          <w:szCs w:val="21"/>
        </w:rPr>
        <w:t>強制執行の奏効のためには、照会の対象となる第三者と情報の範囲を広く認める必要がある。一方で、照会を受ける第三者の負担も十分に考慮されるべきである。</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第三者の範囲に広く自然人を含むという発想もあり得るが、自然人は自営業者でない限り行政機関や銀行、法人と異なり帳簿を備え付けていないことから、債務者に対する債務等の内容を正確に回答できない場合があり、回答の負担が多大なものとなる可能性がある。</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このため、自然人は除外せざるを得ないと考えるが、それ以外には団体の目的、性質、規模等によって制限せずに広く「公務所又は公私の団体」とするのが望ましい。</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また、照会の対象となる情報の具体的な範囲について、第三者に対して債務者に対する債務に限らず保有している債務者の財産の情報の一切の開示を求めるというのは当然無理なことであり、基本的には、第三者が債務者に対して負っている債務の内容の回答を求めることになると考えられる。中間試案にいう金融機関から債務者の預貯金に関する情報を取得する制度はここに包含されることになる。</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公的機関から債務者の給与債権に関する情報を取得する制度については照会の性質</w:t>
      </w:r>
      <w:r w:rsidRPr="00047524">
        <w:rPr>
          <w:rFonts w:asciiTheme="minorEastAsia" w:hAnsiTheme="minorEastAsia" w:hint="eastAsia"/>
          <w:szCs w:val="21"/>
        </w:rPr>
        <w:lastRenderedPageBreak/>
        <w:t>が異なるが、このような制度の創設には賛成である。</w:t>
      </w:r>
    </w:p>
    <w:p w:rsidR="009B5C7D"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なお、第三者及び情報の範囲に関しては、同様の目的を有する他の制度との相互補完も視野に入れて、検討されるべきであろう。</w:t>
      </w:r>
    </w:p>
    <w:p w:rsidR="004106E8" w:rsidRPr="00047524" w:rsidRDefault="00A13D91" w:rsidP="00047524">
      <w:pPr>
        <w:ind w:firstLineChars="113" w:firstLine="251"/>
        <w:rPr>
          <w:rFonts w:asciiTheme="minorEastAsia" w:hAnsiTheme="minorEastAsia"/>
          <w:szCs w:val="21"/>
        </w:rPr>
      </w:pPr>
      <w:r>
        <w:rPr>
          <w:rFonts w:asciiTheme="minorEastAsia" w:hAnsiTheme="minorEastAsia" w:hint="eastAsia"/>
          <w:szCs w:val="21"/>
        </w:rPr>
        <w:t>(</w:t>
      </w:r>
      <w:r w:rsidR="009B5C7D" w:rsidRPr="00047524">
        <w:rPr>
          <w:rFonts w:asciiTheme="minorEastAsia" w:hAnsiTheme="minorEastAsia" w:hint="eastAsia"/>
          <w:szCs w:val="21"/>
        </w:rPr>
        <w:t>ウ</w:t>
      </w:r>
      <w:r>
        <w:rPr>
          <w:rFonts w:asciiTheme="minorEastAsia" w:hAnsiTheme="minorEastAsia"/>
          <w:szCs w:val="21"/>
        </w:rPr>
        <w:t>）</w:t>
      </w:r>
      <w:r w:rsidR="009B5C7D" w:rsidRPr="00047524">
        <w:rPr>
          <w:rFonts w:asciiTheme="minorEastAsia" w:hAnsiTheme="minorEastAsia" w:hint="eastAsia"/>
          <w:szCs w:val="21"/>
        </w:rPr>
        <w:t xml:space="preserve">　</w:t>
      </w:r>
      <w:r w:rsidR="004106E8" w:rsidRPr="00047524">
        <w:rPr>
          <w:rFonts w:asciiTheme="minorEastAsia" w:hAnsiTheme="minorEastAsia" w:hint="eastAsia"/>
          <w:szCs w:val="21"/>
        </w:rPr>
        <w:t>財産開示手続の前置を要件としないこと</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財産開示手続に対して第三者照会制度を補充的なものとして位置付ける論理的な必然性はなく、財産開示手続を先行させると債務者に財産隠匿の機会を提供することになりかねない。また、財産開示手続は罰則を強化してもなお債務者が正直に全ての財産を開示しない可能性がある制度であることから債権者が初めから第三者照会制度を選択しうるようにする方が合理的である。</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少なくとも、情報管理システムの整備が進んでいる機関については、第三者照会制度の利用に財産開示手続の前置を要件とする必要性はない。</w:t>
      </w:r>
    </w:p>
    <w:p w:rsidR="004106E8" w:rsidRPr="00047524" w:rsidRDefault="00A13D91" w:rsidP="00047524">
      <w:pPr>
        <w:ind w:firstLineChars="113" w:firstLine="251"/>
        <w:rPr>
          <w:rFonts w:asciiTheme="minorEastAsia" w:hAnsiTheme="minorEastAsia"/>
          <w:szCs w:val="21"/>
        </w:rPr>
      </w:pPr>
      <w:r>
        <w:rPr>
          <w:rFonts w:asciiTheme="minorEastAsia" w:hAnsiTheme="minorEastAsia" w:hint="eastAsia"/>
          <w:szCs w:val="21"/>
        </w:rPr>
        <w:t>(</w:t>
      </w:r>
      <w:r w:rsidR="009B5C7D" w:rsidRPr="00047524">
        <w:rPr>
          <w:rFonts w:asciiTheme="minorEastAsia" w:hAnsiTheme="minorEastAsia" w:hint="eastAsia"/>
          <w:szCs w:val="21"/>
        </w:rPr>
        <w:t>エ</w:t>
      </w:r>
      <w:r>
        <w:rPr>
          <w:rFonts w:asciiTheme="minorEastAsia" w:hAnsiTheme="minorEastAsia" w:hint="eastAsia"/>
          <w:szCs w:val="21"/>
        </w:rPr>
        <w:t>)</w:t>
      </w:r>
      <w:r w:rsidR="009B5C7D" w:rsidRPr="00047524">
        <w:rPr>
          <w:rFonts w:asciiTheme="minorEastAsia" w:hAnsiTheme="minorEastAsia" w:hint="eastAsia"/>
          <w:szCs w:val="21"/>
        </w:rPr>
        <w:t xml:space="preserve">　</w:t>
      </w:r>
      <w:r w:rsidR="004106E8" w:rsidRPr="00047524">
        <w:rPr>
          <w:rFonts w:asciiTheme="minorEastAsia" w:hAnsiTheme="minorEastAsia" w:hint="eastAsia"/>
          <w:szCs w:val="21"/>
        </w:rPr>
        <w:t>回答義務と制裁について</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第三者照会制度を実効性のあるものとするためには、回答義務を課すことは必要である。</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もっとも、第三者は本来債務者と債権者との紛争について直接の利害関係を有しないものであるから、回答義務の履行確保の方法として過料等の制裁を設けることには慎重であるべきである。</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現行法における第三債務者の陳述の場合と同様に、故意又は過失による不回答又は虚偽回答について損害賠償責任を負うことを定めるのにとどめるのが相当である。</w:t>
      </w:r>
    </w:p>
    <w:p w:rsidR="004106E8" w:rsidRPr="00047524" w:rsidRDefault="00A13D91" w:rsidP="00047524">
      <w:pPr>
        <w:ind w:firstLineChars="113" w:firstLine="251"/>
        <w:rPr>
          <w:rFonts w:asciiTheme="minorEastAsia" w:hAnsiTheme="minorEastAsia"/>
          <w:szCs w:val="21"/>
        </w:rPr>
      </w:pPr>
      <w:r>
        <w:rPr>
          <w:rFonts w:asciiTheme="minorEastAsia" w:hAnsiTheme="minorEastAsia" w:hint="eastAsia"/>
          <w:szCs w:val="21"/>
        </w:rPr>
        <w:t>(</w:t>
      </w:r>
      <w:r w:rsidR="009B5C7D" w:rsidRPr="00047524">
        <w:rPr>
          <w:rFonts w:asciiTheme="minorEastAsia" w:hAnsiTheme="minorEastAsia" w:hint="eastAsia"/>
          <w:szCs w:val="21"/>
        </w:rPr>
        <w:t>オ</w:t>
      </w:r>
      <w:r>
        <w:rPr>
          <w:rFonts w:asciiTheme="minorEastAsia" w:hAnsiTheme="minorEastAsia" w:hint="eastAsia"/>
          <w:szCs w:val="21"/>
        </w:rPr>
        <w:t>)</w:t>
      </w:r>
      <w:r w:rsidR="009B5C7D" w:rsidRPr="00047524">
        <w:rPr>
          <w:rFonts w:asciiTheme="minorEastAsia" w:hAnsiTheme="minorEastAsia" w:hint="eastAsia"/>
          <w:szCs w:val="21"/>
        </w:rPr>
        <w:t xml:space="preserve">　</w:t>
      </w:r>
      <w:r w:rsidR="004106E8" w:rsidRPr="00047524">
        <w:rPr>
          <w:rFonts w:asciiTheme="minorEastAsia" w:hAnsiTheme="minorEastAsia" w:hint="eastAsia"/>
          <w:szCs w:val="21"/>
        </w:rPr>
        <w:t>照会手数料</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第三者照会制度は第三者の協力によって初めて実現するものであり、例えば現在差押命令や仮差押命令に対する第三債務者としての陳述を大量に処理している金融機関等においても、新たに相応の事務負担が生じることが明らかである。</w:t>
      </w:r>
    </w:p>
    <w:p w:rsidR="004106E8" w:rsidRPr="00047524" w:rsidRDefault="004106E8" w:rsidP="00047524">
      <w:pPr>
        <w:ind w:leftChars="302" w:left="672" w:firstLineChars="107" w:firstLine="238"/>
        <w:rPr>
          <w:rFonts w:asciiTheme="minorEastAsia" w:hAnsiTheme="minorEastAsia"/>
          <w:szCs w:val="21"/>
        </w:rPr>
      </w:pPr>
      <w:r w:rsidRPr="00047524">
        <w:rPr>
          <w:rFonts w:asciiTheme="minorEastAsia" w:hAnsiTheme="minorEastAsia" w:hint="eastAsia"/>
          <w:szCs w:val="21"/>
        </w:rPr>
        <w:t>このため、第三者の事務負担に対する適正な対価が支払われるべきである。</w:t>
      </w:r>
    </w:p>
    <w:p w:rsidR="004106E8" w:rsidRPr="00E77251" w:rsidRDefault="00A13D91" w:rsidP="00047524">
      <w:pPr>
        <w:ind w:firstLineChars="100" w:firstLine="222"/>
        <w:rPr>
          <w:rFonts w:asciiTheme="minorEastAsia" w:hAnsiTheme="minorEastAsia"/>
          <w:szCs w:val="21"/>
        </w:rPr>
      </w:pPr>
      <w:r w:rsidRPr="00E77251">
        <w:rPr>
          <w:rFonts w:asciiTheme="minorEastAsia" w:hAnsiTheme="minorEastAsia" w:hint="eastAsia"/>
          <w:szCs w:val="21"/>
        </w:rPr>
        <w:t>ウ</w:t>
      </w:r>
      <w:r w:rsidR="00E77251" w:rsidRPr="00E77251">
        <w:rPr>
          <w:rFonts w:asciiTheme="minorEastAsia" w:hAnsiTheme="minorEastAsia" w:hint="eastAsia"/>
          <w:szCs w:val="21"/>
        </w:rPr>
        <w:t xml:space="preserve">　</w:t>
      </w:r>
      <w:r w:rsidR="004106E8" w:rsidRPr="00E77251">
        <w:rPr>
          <w:rFonts w:asciiTheme="minorEastAsia" w:hAnsiTheme="minorEastAsia" w:hint="eastAsia"/>
          <w:szCs w:val="21"/>
        </w:rPr>
        <w:t>子の引き渡しの強制執行に関する規律の明確化の主要論点について</w:t>
      </w:r>
    </w:p>
    <w:p w:rsidR="004106E8" w:rsidRPr="00047524" w:rsidRDefault="00A13D91" w:rsidP="00047524">
      <w:pPr>
        <w:ind w:firstLineChars="113" w:firstLine="251"/>
        <w:rPr>
          <w:rFonts w:asciiTheme="minorEastAsia" w:hAnsiTheme="minorEastAsia"/>
          <w:szCs w:val="21"/>
        </w:rPr>
      </w:pPr>
      <w:r>
        <w:rPr>
          <w:rFonts w:asciiTheme="minorEastAsia" w:hAnsiTheme="minorEastAsia"/>
          <w:szCs w:val="21"/>
        </w:rPr>
        <w:t>(</w:t>
      </w:r>
      <w:r w:rsidR="009B5C7D" w:rsidRPr="00047524">
        <w:rPr>
          <w:rFonts w:asciiTheme="minorEastAsia" w:hAnsiTheme="minorEastAsia" w:hint="eastAsia"/>
          <w:szCs w:val="21"/>
        </w:rPr>
        <w:t>ア</w:t>
      </w:r>
      <w:r>
        <w:rPr>
          <w:rFonts w:asciiTheme="minorEastAsia" w:hAnsiTheme="minorEastAsia" w:hint="eastAsia"/>
          <w:szCs w:val="21"/>
        </w:rPr>
        <w:t>)</w:t>
      </w:r>
      <w:r w:rsidR="009B5C7D" w:rsidRPr="00047524">
        <w:rPr>
          <w:rFonts w:asciiTheme="minorEastAsia" w:hAnsiTheme="minorEastAsia" w:hint="eastAsia"/>
          <w:szCs w:val="21"/>
        </w:rPr>
        <w:t xml:space="preserve">　</w:t>
      </w:r>
      <w:r w:rsidR="004106E8" w:rsidRPr="00047524">
        <w:rPr>
          <w:rFonts w:asciiTheme="minorEastAsia" w:hAnsiTheme="minorEastAsia" w:hint="eastAsia"/>
          <w:szCs w:val="21"/>
        </w:rPr>
        <w:t>直接的な強制と間接強制との関係について（試案第3第2項）</w:t>
      </w:r>
    </w:p>
    <w:p w:rsidR="004106E8" w:rsidRPr="00047524" w:rsidRDefault="004106E8" w:rsidP="00047524">
      <w:pPr>
        <w:ind w:leftChars="315" w:left="701" w:firstLineChars="100" w:firstLine="222"/>
        <w:jc w:val="left"/>
        <w:rPr>
          <w:rFonts w:asciiTheme="minorEastAsia" w:hAnsiTheme="minorEastAsia"/>
          <w:szCs w:val="21"/>
        </w:rPr>
      </w:pPr>
      <w:r w:rsidRPr="00047524">
        <w:rPr>
          <w:rFonts w:asciiTheme="minorEastAsia" w:hAnsiTheme="minorEastAsia" w:hint="eastAsia"/>
          <w:szCs w:val="21"/>
        </w:rPr>
        <w:t>これについて、中間試案では本文でハーグ条約実施法と同様に間接強制前置を前提としながら、注において、間接強制前置を前提としつつ、子の利益の観点から直ちに直接的な強制執行をすべき場合に、その例外を設けるという考え方と、そもそも間接強制を前置すべきでないとする考え方が併記されている。</w:t>
      </w:r>
    </w:p>
    <w:p w:rsidR="004106E8" w:rsidRPr="00047524" w:rsidRDefault="004106E8" w:rsidP="00047524">
      <w:pPr>
        <w:ind w:leftChars="315" w:left="701" w:firstLineChars="100" w:firstLine="222"/>
        <w:jc w:val="left"/>
        <w:rPr>
          <w:rFonts w:asciiTheme="minorEastAsia" w:hAnsiTheme="minorEastAsia"/>
          <w:szCs w:val="21"/>
        </w:rPr>
      </w:pPr>
      <w:r w:rsidRPr="00047524">
        <w:rPr>
          <w:rFonts w:asciiTheme="minorEastAsia" w:hAnsiTheme="minorEastAsia" w:hint="eastAsia"/>
          <w:szCs w:val="21"/>
        </w:rPr>
        <w:t>子の引き渡しの執行方法については、子の福祉の観点から十分な検討　が必要であることは言うまでもない。しかし、どのような場面でどのような執行方法をとることが真に子の福祉にかなうのかについては、一義的に回答が得られるものではないことも真実であり、我が国の執行法の改正であることを前提に、ハーグ条約実施方との整合性を念頭に置きつつも、国際的な子の返還の場面と国内における返還との違いを視野に入れて、さらに慎重な検討が必要と思われる。</w:t>
      </w:r>
    </w:p>
    <w:p w:rsidR="004106E8" w:rsidRPr="00047524" w:rsidRDefault="00A13D91" w:rsidP="00047524">
      <w:pPr>
        <w:ind w:firstLineChars="113" w:firstLine="251"/>
        <w:rPr>
          <w:rFonts w:asciiTheme="minorEastAsia" w:hAnsiTheme="minorEastAsia"/>
          <w:szCs w:val="21"/>
        </w:rPr>
      </w:pPr>
      <w:r>
        <w:rPr>
          <w:rFonts w:asciiTheme="minorEastAsia" w:hAnsiTheme="minorEastAsia" w:hint="eastAsia"/>
          <w:szCs w:val="21"/>
        </w:rPr>
        <w:t>(</w:t>
      </w:r>
      <w:r w:rsidR="009B5C7D" w:rsidRPr="00047524">
        <w:rPr>
          <w:rFonts w:asciiTheme="minorEastAsia" w:hAnsiTheme="minorEastAsia" w:hint="eastAsia"/>
          <w:szCs w:val="21"/>
        </w:rPr>
        <w:t>イ</w:t>
      </w:r>
      <w:r>
        <w:rPr>
          <w:rFonts w:asciiTheme="minorEastAsia" w:hAnsiTheme="minorEastAsia" w:hint="eastAsia"/>
          <w:szCs w:val="21"/>
        </w:rPr>
        <w:t>)</w:t>
      </w:r>
      <w:r w:rsidR="009B5C7D" w:rsidRPr="00047524">
        <w:rPr>
          <w:rFonts w:asciiTheme="minorEastAsia" w:hAnsiTheme="minorEastAsia" w:hint="eastAsia"/>
          <w:szCs w:val="21"/>
        </w:rPr>
        <w:t xml:space="preserve">　</w:t>
      </w:r>
      <w:r w:rsidR="004106E8" w:rsidRPr="00047524">
        <w:rPr>
          <w:rFonts w:asciiTheme="minorEastAsia" w:hAnsiTheme="minorEastAsia" w:hint="eastAsia"/>
          <w:szCs w:val="21"/>
        </w:rPr>
        <w:t>子が債務者と共にいること（同時存在）の要否について（試案第3第3項(1)）</w:t>
      </w:r>
    </w:p>
    <w:p w:rsidR="004106E8" w:rsidRPr="00047524" w:rsidRDefault="004106E8" w:rsidP="00047524">
      <w:pPr>
        <w:ind w:leftChars="315" w:left="701" w:firstLineChars="100" w:firstLine="222"/>
        <w:jc w:val="left"/>
        <w:rPr>
          <w:rFonts w:asciiTheme="minorEastAsia" w:hAnsiTheme="minorEastAsia"/>
          <w:szCs w:val="21"/>
        </w:rPr>
      </w:pPr>
      <w:r w:rsidRPr="00047524">
        <w:rPr>
          <w:rFonts w:asciiTheme="minorEastAsia" w:hAnsiTheme="minorEastAsia" w:hint="eastAsia"/>
          <w:szCs w:val="21"/>
        </w:rPr>
        <w:lastRenderedPageBreak/>
        <w:t>これについても、試案本文では、強制執行が子の心身に与える負担を最小限にとどめる観点から、債務者に自発的に子の監護を解かせることが望ましく、ハーグ条約実施法と同様、直接的な強制は、子が債務者と共にいる場合に限るということを原則とする規律を提案するが、一方、注においては債務者が恣意的に強制執行を不能に至らせる懸念から、同時存在を不要とする考えも提示されている。</w:t>
      </w:r>
    </w:p>
    <w:p w:rsidR="004106E8" w:rsidRPr="00047524" w:rsidRDefault="004106E8" w:rsidP="00047524">
      <w:pPr>
        <w:ind w:leftChars="315" w:left="701" w:firstLineChars="100" w:firstLine="222"/>
        <w:jc w:val="left"/>
        <w:rPr>
          <w:rFonts w:asciiTheme="minorEastAsia" w:hAnsiTheme="minorEastAsia"/>
          <w:szCs w:val="21"/>
        </w:rPr>
      </w:pPr>
      <w:r w:rsidRPr="00047524">
        <w:rPr>
          <w:rFonts w:asciiTheme="minorEastAsia" w:hAnsiTheme="minorEastAsia" w:hint="eastAsia"/>
          <w:szCs w:val="21"/>
        </w:rPr>
        <w:t>確かに、執行の場面において、債務者不在の場所で子を連れ帰る場合、子が事態を飲み込めずに恐怖や混乱に陥る恐れは否定できず、ハーグ実施法もその観点から同時存在を求めている。しかし、国内における子の引渡しの場合、親権や監護権に関する裁判所の判断が存在しており、子の引き渡しが容易に達成されないこととなれば、それが子の福祉に反するという考え方もあろう。これも子の福祉の観点からは、そもそもの同時存在の必要性があるのかも含め、原則として同時存在を求めるとしてもその例外に関する具体的な要件のあり方等について</w:t>
      </w:r>
      <w:r w:rsidR="00F91F49" w:rsidRPr="00047524">
        <w:rPr>
          <w:rFonts w:asciiTheme="minorEastAsia" w:hAnsiTheme="minorEastAsia" w:hint="eastAsia"/>
          <w:szCs w:val="21"/>
        </w:rPr>
        <w:t>、</w:t>
      </w:r>
      <w:r w:rsidRPr="00047524">
        <w:rPr>
          <w:rFonts w:asciiTheme="minorEastAsia" w:hAnsiTheme="minorEastAsia" w:hint="eastAsia"/>
          <w:szCs w:val="21"/>
        </w:rPr>
        <w:t>さらに十分な議論がなされるべきである。</w:t>
      </w:r>
    </w:p>
    <w:p w:rsidR="004106E8" w:rsidRPr="00047524" w:rsidRDefault="00A13D91" w:rsidP="00047524">
      <w:pPr>
        <w:ind w:firstLineChars="113" w:firstLine="251"/>
        <w:rPr>
          <w:rFonts w:asciiTheme="minorEastAsia" w:hAnsiTheme="minorEastAsia"/>
          <w:szCs w:val="21"/>
        </w:rPr>
      </w:pPr>
      <w:r>
        <w:rPr>
          <w:rFonts w:asciiTheme="minorEastAsia" w:hAnsiTheme="minorEastAsia" w:hint="eastAsia"/>
          <w:szCs w:val="21"/>
        </w:rPr>
        <w:t>(</w:t>
      </w:r>
      <w:r w:rsidR="009B5C7D" w:rsidRPr="00047524">
        <w:rPr>
          <w:rFonts w:asciiTheme="minorEastAsia" w:hAnsiTheme="minorEastAsia" w:hint="eastAsia"/>
          <w:szCs w:val="21"/>
        </w:rPr>
        <w:t>ウ</w:t>
      </w:r>
      <w:r>
        <w:rPr>
          <w:rFonts w:asciiTheme="minorEastAsia" w:hAnsiTheme="minorEastAsia" w:hint="eastAsia"/>
          <w:szCs w:val="21"/>
        </w:rPr>
        <w:t>)</w:t>
      </w:r>
      <w:r w:rsidR="009B5C7D" w:rsidRPr="00047524">
        <w:rPr>
          <w:rFonts w:asciiTheme="minorEastAsia" w:hAnsiTheme="minorEastAsia" w:hint="eastAsia"/>
          <w:szCs w:val="21"/>
        </w:rPr>
        <w:t xml:space="preserve">　</w:t>
      </w:r>
      <w:r w:rsidR="004106E8" w:rsidRPr="00047524">
        <w:rPr>
          <w:rFonts w:asciiTheme="minorEastAsia" w:hAnsiTheme="minorEastAsia" w:hint="eastAsia"/>
          <w:szCs w:val="21"/>
        </w:rPr>
        <w:t>執行場所について（試案第3第3項(3)イ）</w:t>
      </w:r>
    </w:p>
    <w:p w:rsidR="004106E8" w:rsidRPr="00047524" w:rsidRDefault="004106E8" w:rsidP="00047524">
      <w:pPr>
        <w:ind w:leftChars="315" w:left="701" w:firstLineChars="100" w:firstLine="222"/>
        <w:jc w:val="left"/>
        <w:rPr>
          <w:rFonts w:asciiTheme="minorEastAsia" w:hAnsiTheme="minorEastAsia"/>
          <w:szCs w:val="21"/>
        </w:rPr>
      </w:pPr>
      <w:r w:rsidRPr="00047524">
        <w:rPr>
          <w:rFonts w:asciiTheme="minorEastAsia" w:hAnsiTheme="minorEastAsia" w:hint="eastAsia"/>
          <w:szCs w:val="21"/>
        </w:rPr>
        <w:t>試案本文においては、執行官が債務者の占有する場所以外の場所へ立入りをするためには、適法性確保の観点から、原則として当該場所を占有する者の同意を得ることを要件とすることが提案されている。また、注では、執行場所を例外なく債務者の住居その他債務者の占有する場所に限るとする考え方も示されている。</w:t>
      </w:r>
    </w:p>
    <w:p w:rsidR="004106E8" w:rsidRPr="00047524" w:rsidRDefault="004106E8" w:rsidP="00047524">
      <w:pPr>
        <w:ind w:leftChars="315" w:left="701" w:firstLineChars="100" w:firstLine="222"/>
        <w:jc w:val="left"/>
        <w:rPr>
          <w:rFonts w:asciiTheme="minorEastAsia" w:hAnsiTheme="minorEastAsia"/>
          <w:szCs w:val="21"/>
        </w:rPr>
      </w:pPr>
      <w:r w:rsidRPr="00047524">
        <w:rPr>
          <w:rFonts w:asciiTheme="minorEastAsia" w:hAnsiTheme="minorEastAsia" w:hint="eastAsia"/>
          <w:szCs w:val="21"/>
        </w:rPr>
        <w:t>しかし、一例として、祖父母が子を監護している場合などには、常に当該場所を占有する者の同意を要するとすれば、その同意が容易に得られないことも予想され、強制執行ができなくなることが懸念される。最終的には債権者の利益と第三者の財産権の保障をどの</w:t>
      </w:r>
      <w:r w:rsidR="003858D3">
        <w:rPr>
          <w:rFonts w:asciiTheme="minorEastAsia" w:hAnsiTheme="minorEastAsia" w:hint="eastAsia"/>
          <w:szCs w:val="21"/>
        </w:rPr>
        <w:t>様</w:t>
      </w:r>
      <w:r w:rsidRPr="00047524">
        <w:rPr>
          <w:rFonts w:asciiTheme="minorEastAsia" w:hAnsiTheme="minorEastAsia" w:hint="eastAsia"/>
          <w:szCs w:val="21"/>
        </w:rPr>
        <w:t>に調整するかの問題であるが、執行裁判所に対し具体的な執行方法についての許可を求めさせる等の可能性も考慮し、具体的要件をさらに検討する必要があると</w:t>
      </w:r>
      <w:r w:rsidR="003858D3">
        <w:rPr>
          <w:rFonts w:asciiTheme="minorEastAsia" w:hAnsiTheme="minorEastAsia" w:hint="eastAsia"/>
          <w:szCs w:val="21"/>
        </w:rPr>
        <w:t>思料す</w:t>
      </w:r>
      <w:r w:rsidRPr="00047524">
        <w:rPr>
          <w:rFonts w:asciiTheme="minorEastAsia" w:hAnsiTheme="minorEastAsia" w:hint="eastAsia"/>
          <w:szCs w:val="21"/>
        </w:rPr>
        <w:t>る。</w:t>
      </w:r>
    </w:p>
    <w:p w:rsidR="004106E8" w:rsidRPr="00047524" w:rsidRDefault="004106E8" w:rsidP="005168AE">
      <w:pPr>
        <w:ind w:firstLineChars="100" w:firstLine="222"/>
        <w:rPr>
          <w:rFonts w:asciiTheme="minorEastAsia" w:hAnsiTheme="minorEastAsia"/>
        </w:rPr>
      </w:pPr>
    </w:p>
    <w:p w:rsidR="004106E8" w:rsidRPr="00E77251" w:rsidRDefault="00A13D91" w:rsidP="004106E8">
      <w:pPr>
        <w:rPr>
          <w:rFonts w:asciiTheme="minorEastAsia" w:hAnsiTheme="minorEastAsia" w:cs="Times New Roman"/>
          <w:b/>
          <w:spacing w:val="2"/>
        </w:rPr>
      </w:pPr>
      <w:r w:rsidRPr="00E77251">
        <w:rPr>
          <w:rFonts w:asciiTheme="minorEastAsia" w:hAnsiTheme="minorEastAsia" w:hint="eastAsia"/>
          <w:b/>
        </w:rPr>
        <w:t>⑵</w:t>
      </w:r>
      <w:r w:rsidR="004106E8" w:rsidRPr="00E77251">
        <w:rPr>
          <w:rFonts w:asciiTheme="minorEastAsia" w:hAnsiTheme="minorEastAsia" w:hint="eastAsia"/>
          <w:b/>
        </w:rPr>
        <w:t xml:space="preserve">　通信秘密</w:t>
      </w:r>
    </w:p>
    <w:p w:rsidR="00A7501D" w:rsidRPr="00047524" w:rsidRDefault="004106E8" w:rsidP="00047524">
      <w:pPr>
        <w:ind w:leftChars="100" w:left="222"/>
        <w:rPr>
          <w:rFonts w:asciiTheme="minorEastAsia" w:hAnsiTheme="minorEastAsia"/>
        </w:rPr>
      </w:pPr>
      <w:r w:rsidRPr="00047524">
        <w:rPr>
          <w:rFonts w:asciiTheme="minorEastAsia" w:hAnsiTheme="minorEastAsia" w:hint="eastAsia"/>
        </w:rPr>
        <w:t xml:space="preserve">　通信秘密保護制度（通信情報保護制度）とは、依頼者（相談者）と弁護士との間の相談・協議内容について、民事手続・刑事手続・行政手続での開示拒絶権を明確に定め、弁護士との相談・協議内容の秘密が守られることを確保し、もって弁護士に依頼・相談する依頼者の権利を法的に保護する制度のことである。</w:t>
      </w:r>
    </w:p>
    <w:p w:rsidR="004106E8" w:rsidRPr="00047524" w:rsidRDefault="00861727" w:rsidP="00047524">
      <w:pPr>
        <w:ind w:leftChars="100" w:left="222"/>
        <w:rPr>
          <w:rFonts w:asciiTheme="minorEastAsia" w:hAnsiTheme="minorEastAsia"/>
        </w:rPr>
      </w:pPr>
      <w:r w:rsidRPr="00047524">
        <w:rPr>
          <w:rFonts w:asciiTheme="minorEastAsia" w:hAnsiTheme="minorEastAsia" w:hint="eastAsia"/>
        </w:rPr>
        <w:t>海外</w:t>
      </w:r>
      <w:r w:rsidR="00A57BAF" w:rsidRPr="00047524">
        <w:rPr>
          <w:rFonts w:asciiTheme="minorEastAsia" w:hAnsiTheme="minorEastAsia" w:hint="eastAsia"/>
        </w:rPr>
        <w:t>におい</w:t>
      </w:r>
      <w:r w:rsidR="003858D3">
        <w:rPr>
          <w:rFonts w:asciiTheme="minorEastAsia" w:hAnsiTheme="minorEastAsia" w:hint="eastAsia"/>
        </w:rPr>
        <w:t>て</w:t>
      </w:r>
      <w:r w:rsidR="00A57BAF" w:rsidRPr="00047524">
        <w:rPr>
          <w:rFonts w:asciiTheme="minorEastAsia" w:hAnsiTheme="minorEastAsia" w:hint="eastAsia"/>
        </w:rPr>
        <w:t>は</w:t>
      </w:r>
      <w:r w:rsidRPr="00047524">
        <w:rPr>
          <w:rFonts w:asciiTheme="minorEastAsia" w:hAnsiTheme="minorEastAsia" w:hint="eastAsia"/>
        </w:rPr>
        <w:t>、</w:t>
      </w:r>
      <w:r w:rsidR="00A57BAF" w:rsidRPr="00047524">
        <w:rPr>
          <w:rFonts w:asciiTheme="minorEastAsia" w:hAnsiTheme="minorEastAsia" w:hint="eastAsia"/>
        </w:rPr>
        <w:t>依頼者における「</w:t>
      </w:r>
      <w:r w:rsidRPr="00047524">
        <w:rPr>
          <w:rFonts w:asciiTheme="minorEastAsia" w:hAnsiTheme="minorEastAsia" w:hint="eastAsia"/>
        </w:rPr>
        <w:t>弁護士秘匿特権（Legal Professional Privilege）</w:t>
      </w:r>
      <w:r w:rsidR="00A57BAF" w:rsidRPr="00047524">
        <w:rPr>
          <w:rFonts w:asciiTheme="minorEastAsia" w:hAnsiTheme="minorEastAsia" w:hint="eastAsia"/>
        </w:rPr>
        <w:t>」</w:t>
      </w:r>
      <w:r w:rsidR="00A7501D" w:rsidRPr="00047524">
        <w:rPr>
          <w:rFonts w:asciiTheme="minorEastAsia" w:hAnsiTheme="minorEastAsia" w:hint="eastAsia"/>
        </w:rPr>
        <w:t>が</w:t>
      </w:r>
      <w:r w:rsidRPr="00047524">
        <w:rPr>
          <w:rFonts w:asciiTheme="minorEastAsia" w:hAnsiTheme="minorEastAsia" w:hint="eastAsia"/>
        </w:rPr>
        <w:t>、英米法では依頼者の権利</w:t>
      </w:r>
      <w:r w:rsidR="00A57BAF" w:rsidRPr="00047524">
        <w:rPr>
          <w:rFonts w:asciiTheme="minorEastAsia" w:hAnsiTheme="minorEastAsia" w:hint="eastAsia"/>
        </w:rPr>
        <w:t>として</w:t>
      </w:r>
      <w:r w:rsidRPr="00047524">
        <w:rPr>
          <w:rFonts w:asciiTheme="minorEastAsia" w:hAnsiTheme="minorEastAsia" w:hint="eastAsia"/>
        </w:rPr>
        <w:t>、大陸法では弁護士の職業上の秘密の反射的効果として保護されてきた。</w:t>
      </w:r>
      <w:r w:rsidR="00A7501D" w:rsidRPr="00047524">
        <w:rPr>
          <w:rFonts w:asciiTheme="minorEastAsia" w:hAnsiTheme="minorEastAsia" w:hint="eastAsia"/>
        </w:rPr>
        <w:t>一方、我が国においては、</w:t>
      </w:r>
      <w:r w:rsidR="004106E8" w:rsidRPr="00047524">
        <w:rPr>
          <w:rFonts w:asciiTheme="minorEastAsia" w:hAnsiTheme="minorEastAsia" w:hint="eastAsia"/>
        </w:rPr>
        <w:t>現行法上、弁護士には依頼者との間の相談・協議内容の秘密を守る義務があり（弁護士法23条、刑法134条、弁護士職務基本規程23条等）、民事・刑事訴訟法上は弁護士に証言拒絶等の権利があり（民事訴訟法197条1項2号、220条4号ハ、刑事訴訟法105条、149条）、刑事弁護においては刑事訴訟法39条1項により一定程度相談の秘密</w:t>
      </w:r>
      <w:r w:rsidR="00A7501D" w:rsidRPr="00047524">
        <w:rPr>
          <w:rFonts w:asciiTheme="minorEastAsia" w:hAnsiTheme="minorEastAsia" w:hint="eastAsia"/>
        </w:rPr>
        <w:t>を</w:t>
      </w:r>
      <w:r w:rsidR="004106E8" w:rsidRPr="00047524">
        <w:rPr>
          <w:rFonts w:asciiTheme="minorEastAsia" w:hAnsiTheme="minorEastAsia" w:hint="eastAsia"/>
        </w:rPr>
        <w:t>保</w:t>
      </w:r>
      <w:r w:rsidR="00A7501D" w:rsidRPr="00047524">
        <w:rPr>
          <w:rFonts w:asciiTheme="minorEastAsia" w:hAnsiTheme="minorEastAsia" w:hint="eastAsia"/>
        </w:rPr>
        <w:t>護する制度があるものの</w:t>
      </w:r>
      <w:r w:rsidR="004106E8" w:rsidRPr="00047524">
        <w:rPr>
          <w:rFonts w:asciiTheme="minorEastAsia" w:hAnsiTheme="minorEastAsia" w:hint="eastAsia"/>
        </w:rPr>
        <w:t>、</w:t>
      </w:r>
      <w:r w:rsidR="00A57BAF" w:rsidRPr="00047524">
        <w:rPr>
          <w:rFonts w:asciiTheme="minorEastAsia" w:hAnsiTheme="minorEastAsia" w:hint="eastAsia"/>
        </w:rPr>
        <w:t>例えば、</w:t>
      </w:r>
      <w:r w:rsidR="004106E8" w:rsidRPr="00047524">
        <w:rPr>
          <w:rFonts w:asciiTheme="minorEastAsia" w:hAnsiTheme="minorEastAsia" w:hint="eastAsia"/>
        </w:rPr>
        <w:t>行政調査では、依頼者は当局など第三者から開示を求められたときに弁護士との通信について必ずしも開示を拒絶することができ</w:t>
      </w:r>
      <w:r w:rsidR="004106E8" w:rsidRPr="00047524">
        <w:rPr>
          <w:rFonts w:asciiTheme="minorEastAsia" w:hAnsiTheme="minorEastAsia" w:hint="eastAsia"/>
        </w:rPr>
        <w:lastRenderedPageBreak/>
        <w:t>ず、刑事収容施設でも弁護士との通信の内容について検閲される取扱いがされる場合があることにより、依頼者と弁護士との通信の秘密が保障されているとは言い難いのが現状である。独占禁止法に基づく審査手続において、依頼者と弁護士との間の通信の取扱いが問題となった事案もある。弁護士との相談の秘密が確保されないことにより、充分な防御ができない、法令順守のため弁護士に相談することを躊躇するなどの弊害が指摘されている。</w:t>
      </w:r>
    </w:p>
    <w:p w:rsidR="004106E8" w:rsidRPr="00047524" w:rsidRDefault="004106E8" w:rsidP="00047524">
      <w:pPr>
        <w:ind w:leftChars="100" w:left="222"/>
        <w:rPr>
          <w:rFonts w:asciiTheme="minorEastAsia" w:hAnsiTheme="minorEastAsia"/>
        </w:rPr>
      </w:pPr>
      <w:r w:rsidRPr="00047524">
        <w:rPr>
          <w:rFonts w:asciiTheme="minorEastAsia" w:hAnsiTheme="minorEastAsia" w:hint="eastAsia"/>
        </w:rPr>
        <w:t xml:space="preserve">　行政側の対応は、公正取引委員会が設置した独占禁止法研究会が2017（平成29）年4月25日に公表した独占禁止法研究会報告書において、裁量型課徴金制度下での手続保障について、①事前手続については、現行の意見聴取手続を見直す必要はないとし、②弁護士と依頼者の間のコミュニケーションについて依頼者が調査当局に対する開示を拒むこと等ができるいわゆる「秘匿特権」については、新たな課徴金減免制度の利用に係るものに限定して、証拠隠滅等の弊害防止措置を合わせて整備することを前提に、運用において秘匿特権に配慮することが適当であるとするにとどまり、③供述録取手続における防御権については、拡充の必要がないとする。</w:t>
      </w:r>
    </w:p>
    <w:p w:rsidR="004106E8" w:rsidRPr="00047524" w:rsidRDefault="004106E8" w:rsidP="00047524">
      <w:pPr>
        <w:ind w:leftChars="100" w:left="222"/>
        <w:rPr>
          <w:rFonts w:asciiTheme="minorEastAsia" w:hAnsiTheme="minorEastAsia"/>
        </w:rPr>
      </w:pPr>
      <w:r w:rsidRPr="00047524">
        <w:rPr>
          <w:rFonts w:asciiTheme="minorEastAsia" w:hAnsiTheme="minorEastAsia" w:hint="eastAsia"/>
        </w:rPr>
        <w:t xml:space="preserve">　弁護士会</w:t>
      </w:r>
      <w:r w:rsidR="006A00DC" w:rsidRPr="00047524">
        <w:rPr>
          <w:rFonts w:asciiTheme="minorEastAsia" w:hAnsiTheme="minorEastAsia" w:hint="eastAsia"/>
        </w:rPr>
        <w:t>の対応として</w:t>
      </w:r>
      <w:r w:rsidR="00A57BAF" w:rsidRPr="00047524">
        <w:rPr>
          <w:rFonts w:asciiTheme="minorEastAsia" w:hAnsiTheme="minorEastAsia" w:hint="eastAsia"/>
        </w:rPr>
        <w:t>は、日弁連が2016（平成28）</w:t>
      </w:r>
      <w:r w:rsidR="006A00DC" w:rsidRPr="00047524">
        <w:rPr>
          <w:rFonts w:asciiTheme="minorEastAsia" w:hAnsiTheme="minorEastAsia" w:hint="eastAsia"/>
        </w:rPr>
        <w:t>年</w:t>
      </w:r>
      <w:r w:rsidR="00A57BAF" w:rsidRPr="00047524">
        <w:rPr>
          <w:rFonts w:asciiTheme="minorEastAsia" w:hAnsiTheme="minorEastAsia" w:hint="eastAsia"/>
        </w:rPr>
        <w:t>2月に「弁護士と依頼者の通信秘密</w:t>
      </w:r>
      <w:r w:rsidR="003858D3">
        <w:rPr>
          <w:rFonts w:asciiTheme="minorEastAsia" w:hAnsiTheme="minorEastAsia" w:hint="eastAsia"/>
        </w:rPr>
        <w:t>保護</w:t>
      </w:r>
      <w:r w:rsidR="00A57BAF" w:rsidRPr="00047524">
        <w:rPr>
          <w:rFonts w:asciiTheme="minorEastAsia" w:hAnsiTheme="minorEastAsia" w:hint="eastAsia"/>
        </w:rPr>
        <w:t>制度に関する最終報告」をとりまとめ</w:t>
      </w:r>
      <w:r w:rsidRPr="00047524">
        <w:rPr>
          <w:rFonts w:asciiTheme="minorEastAsia" w:hAnsiTheme="minorEastAsia" w:hint="eastAsia"/>
        </w:rPr>
        <w:t>、「弁護士に依頼・相談する依頼者の権利」を制度的に保障するように立法化を図るべきである</w:t>
      </w:r>
      <w:r w:rsidR="00A57BAF" w:rsidRPr="00047524">
        <w:rPr>
          <w:rFonts w:asciiTheme="minorEastAsia" w:hAnsiTheme="minorEastAsia" w:hint="eastAsia"/>
        </w:rPr>
        <w:t>と提言した</w:t>
      </w:r>
      <w:r w:rsidRPr="00047524">
        <w:rPr>
          <w:rFonts w:asciiTheme="minorEastAsia" w:hAnsiTheme="minorEastAsia" w:hint="eastAsia"/>
        </w:rPr>
        <w:t>。制度設計にあたっては、</w:t>
      </w:r>
      <w:r w:rsidR="006139D0" w:rsidRPr="00047524">
        <w:rPr>
          <w:rFonts w:asciiTheme="minorEastAsia" w:hAnsiTheme="minorEastAsia" w:hint="eastAsia"/>
        </w:rPr>
        <w:t>憲法・法律上の</w:t>
      </w:r>
      <w:r w:rsidR="003858D3">
        <w:rPr>
          <w:rFonts w:asciiTheme="minorEastAsia" w:hAnsiTheme="minorEastAsia" w:hint="eastAsia"/>
        </w:rPr>
        <w:t>既存</w:t>
      </w:r>
      <w:r w:rsidR="006139D0" w:rsidRPr="00047524">
        <w:rPr>
          <w:rFonts w:asciiTheme="minorEastAsia" w:hAnsiTheme="minorEastAsia" w:hint="eastAsia"/>
        </w:rPr>
        <w:t>の用例との区別という観点から「通信」の語を用いるか、依頼者の権利としての位置づけをどう明確</w:t>
      </w:r>
      <w:r w:rsidR="003858D3">
        <w:rPr>
          <w:rFonts w:asciiTheme="minorEastAsia" w:hAnsiTheme="minorEastAsia" w:hint="eastAsia"/>
        </w:rPr>
        <w:t>に</w:t>
      </w:r>
      <w:r w:rsidR="006139D0" w:rsidRPr="00047524">
        <w:rPr>
          <w:rFonts w:asciiTheme="minorEastAsia" w:hAnsiTheme="minorEastAsia" w:hint="eastAsia"/>
        </w:rPr>
        <w:t>するかなどの名称の問題も含め、</w:t>
      </w:r>
      <w:r w:rsidRPr="00047524">
        <w:rPr>
          <w:rFonts w:asciiTheme="minorEastAsia" w:hAnsiTheme="minorEastAsia" w:hint="eastAsia"/>
        </w:rPr>
        <w:t>証拠開示の要請、海外の法制度との調和に配慮しつつ、秘密保護の範囲や要件を明確化し、その判定の仕組みを</w:t>
      </w:r>
      <w:r w:rsidR="00D62100" w:rsidRPr="00047524">
        <w:rPr>
          <w:rFonts w:asciiTheme="minorEastAsia" w:hAnsiTheme="minorEastAsia" w:hint="eastAsia"/>
        </w:rPr>
        <w:t>構築するなど、</w:t>
      </w:r>
      <w:r w:rsidRPr="00047524">
        <w:rPr>
          <w:rFonts w:asciiTheme="minorEastAsia" w:hAnsiTheme="minorEastAsia" w:hint="eastAsia"/>
        </w:rPr>
        <w:t>検討す</w:t>
      </w:r>
      <w:r w:rsidR="00D62100" w:rsidRPr="00047524">
        <w:rPr>
          <w:rFonts w:asciiTheme="minorEastAsia" w:hAnsiTheme="minorEastAsia" w:hint="eastAsia"/>
        </w:rPr>
        <w:t>べき問題は</w:t>
      </w:r>
      <w:r w:rsidRPr="00047524">
        <w:rPr>
          <w:rFonts w:asciiTheme="minorEastAsia" w:hAnsiTheme="minorEastAsia" w:hint="eastAsia"/>
        </w:rPr>
        <w:t>ある</w:t>
      </w:r>
      <w:r w:rsidR="00D62100" w:rsidRPr="00047524">
        <w:rPr>
          <w:rFonts w:asciiTheme="minorEastAsia" w:hAnsiTheme="minorEastAsia" w:hint="eastAsia"/>
        </w:rPr>
        <w:t>が、立法化の必要性は確かであり、今後、当会においても積極的に取り組んでいかなければならない</w:t>
      </w:r>
      <w:r w:rsidRPr="00047524">
        <w:rPr>
          <w:rFonts w:asciiTheme="minorEastAsia" w:hAnsiTheme="minorEastAsia" w:hint="eastAsia"/>
        </w:rPr>
        <w:t>。</w:t>
      </w:r>
    </w:p>
    <w:p w:rsidR="004106E8" w:rsidRPr="00047524" w:rsidRDefault="004106E8" w:rsidP="005168AE">
      <w:pPr>
        <w:ind w:firstLineChars="100" w:firstLine="222"/>
        <w:rPr>
          <w:rFonts w:asciiTheme="minorEastAsia" w:hAnsiTheme="minorEastAsia"/>
        </w:rPr>
      </w:pPr>
    </w:p>
    <w:p w:rsidR="004106E8" w:rsidRPr="00E77251" w:rsidRDefault="00A13D91" w:rsidP="004106E8">
      <w:pPr>
        <w:rPr>
          <w:rFonts w:asciiTheme="minorEastAsia" w:hAnsiTheme="minorEastAsia"/>
          <w:b/>
        </w:rPr>
      </w:pPr>
      <w:r w:rsidRPr="00E77251">
        <w:rPr>
          <w:rFonts w:asciiTheme="minorEastAsia" w:hAnsiTheme="minorEastAsia" w:hint="eastAsia"/>
          <w:b/>
        </w:rPr>
        <w:t>⑶</w:t>
      </w:r>
      <w:r w:rsidR="004106E8" w:rsidRPr="00E77251">
        <w:rPr>
          <w:rFonts w:asciiTheme="minorEastAsia" w:hAnsiTheme="minorEastAsia" w:hint="eastAsia"/>
          <w:b/>
        </w:rPr>
        <w:t xml:space="preserve">　国際仲裁等</w:t>
      </w:r>
    </w:p>
    <w:p w:rsidR="004106E8" w:rsidRPr="00047524" w:rsidRDefault="004106E8" w:rsidP="00047524">
      <w:pPr>
        <w:ind w:leftChars="100" w:left="222"/>
        <w:rPr>
          <w:rFonts w:asciiTheme="minorEastAsia" w:hAnsiTheme="minorEastAsia"/>
        </w:rPr>
      </w:pPr>
      <w:r w:rsidRPr="00047524">
        <w:rPr>
          <w:rFonts w:asciiTheme="minorEastAsia" w:hAnsiTheme="minorEastAsia" w:hint="eastAsia"/>
        </w:rPr>
        <w:t xml:space="preserve">　国際仲裁は、一般的に、国際取引の分野において、紛争解決方法として裁判よりも利点が大きいと理解されている。</w:t>
      </w:r>
    </w:p>
    <w:p w:rsidR="004106E8" w:rsidRPr="00047524" w:rsidRDefault="004106E8" w:rsidP="00047524">
      <w:pPr>
        <w:ind w:leftChars="100" w:left="222"/>
        <w:rPr>
          <w:rFonts w:asciiTheme="minorEastAsia" w:hAnsiTheme="minorEastAsia"/>
        </w:rPr>
      </w:pPr>
      <w:r w:rsidRPr="00047524">
        <w:rPr>
          <w:rFonts w:asciiTheme="minorEastAsia" w:hAnsiTheme="minorEastAsia" w:hint="eastAsia"/>
        </w:rPr>
        <w:t xml:space="preserve">　例えば、日本の裁判所で勝訴判決を得たとしても、外国において当該判決に基づく強制執行ができるとは限らない。逆に、外国の裁判所で勝訴判決を得た場合であっても、日本で強制力を有しない可能性がある（例えば、日本で勝訴判決を得たとしても中国で当該判決に基づく強制執行はできないし、中国で勝訴判決を得たとしても日本で当該判決に基づく強制執行はできないと考えられている。）。しかし、国際仲裁であれば、「外国仲裁判断の承認および執行に関する条約」、いわゆるニューヨーク条約に基づき、約150か国において強制力が認められる（なお、中国も当該条約の加盟国である。）。</w:t>
      </w:r>
    </w:p>
    <w:p w:rsidR="004106E8" w:rsidRPr="00047524" w:rsidRDefault="004106E8" w:rsidP="00047524">
      <w:pPr>
        <w:ind w:leftChars="100" w:left="222"/>
        <w:rPr>
          <w:rFonts w:asciiTheme="minorEastAsia" w:hAnsiTheme="minorEastAsia"/>
        </w:rPr>
      </w:pPr>
      <w:r w:rsidRPr="00047524">
        <w:rPr>
          <w:rFonts w:asciiTheme="minorEastAsia" w:hAnsiTheme="minorEastAsia" w:hint="eastAsia"/>
        </w:rPr>
        <w:t>また、途上国では、司法システムそのものが未成熟であったり、信頼性が低い場合があり、このような場合には中立性及び公平性の観点からも国際仲裁の方が望ましい場合もある。さらに、国際仲裁には、専門性、迅速性、手続の柔軟性、非公開性等の利点があると考えられている。</w:t>
      </w:r>
    </w:p>
    <w:p w:rsidR="004106E8" w:rsidRPr="00047524" w:rsidRDefault="004106E8" w:rsidP="00047524">
      <w:pPr>
        <w:ind w:leftChars="100" w:left="222"/>
        <w:rPr>
          <w:rFonts w:asciiTheme="minorEastAsia" w:hAnsiTheme="minorEastAsia"/>
        </w:rPr>
      </w:pPr>
      <w:r w:rsidRPr="00047524">
        <w:rPr>
          <w:rFonts w:asciiTheme="minorEastAsia" w:hAnsiTheme="minorEastAsia" w:hint="eastAsia"/>
        </w:rPr>
        <w:t xml:space="preserve">　しかし、日本においては、国際仲裁が活発に利用されているとは言い難いのが現状である。</w:t>
      </w:r>
      <w:r w:rsidRPr="00047524">
        <w:rPr>
          <w:rFonts w:asciiTheme="minorEastAsia" w:hAnsiTheme="minorEastAsia" w:hint="eastAsia"/>
        </w:rPr>
        <w:lastRenderedPageBreak/>
        <w:t>一般社団法人日本商事仲裁協会における仲裁の申立件数は、2011（平成23）年度から2016（平成28）年度まで年間約20件前後にとどまっている。これに対し、香港国際仲裁センターでは、2015（平成27）</w:t>
      </w:r>
      <w:r w:rsidR="006A00DC" w:rsidRPr="00047524">
        <w:rPr>
          <w:rFonts w:asciiTheme="minorEastAsia" w:hAnsiTheme="minorEastAsia" w:hint="eastAsia"/>
        </w:rPr>
        <w:t>年</w:t>
      </w:r>
      <w:r w:rsidRPr="00047524">
        <w:rPr>
          <w:rFonts w:asciiTheme="minorEastAsia" w:hAnsiTheme="minorEastAsia" w:hint="eastAsia"/>
        </w:rPr>
        <w:t>、214件の国際仲裁が取扱われており、シンガポール国際仲裁センターでは、同年、228件の国際仲裁が取り扱われている。</w:t>
      </w:r>
    </w:p>
    <w:p w:rsidR="004106E8" w:rsidRPr="00047524" w:rsidRDefault="004106E8" w:rsidP="00047524">
      <w:pPr>
        <w:ind w:leftChars="100" w:left="222"/>
        <w:rPr>
          <w:rFonts w:asciiTheme="minorEastAsia" w:hAnsiTheme="minorEastAsia"/>
        </w:rPr>
      </w:pPr>
      <w:r w:rsidRPr="00047524">
        <w:rPr>
          <w:rFonts w:asciiTheme="minorEastAsia" w:hAnsiTheme="minorEastAsia" w:hint="eastAsia"/>
        </w:rPr>
        <w:t>日本企業が当事者となる国際紛争の仲裁が他国で行われている例も指摘されており、このような事態は日本経済にとっても負の影響を及ぼしているものと考えられる（例えば、サッカーでいえば、ホームゲームとなる場合であっても、日本に専用スタジアムがないから他国で試合を行うようなものであるとの指摘がある。）。</w:t>
      </w:r>
    </w:p>
    <w:p w:rsidR="004106E8" w:rsidRPr="00047524" w:rsidRDefault="004106E8" w:rsidP="00047524">
      <w:pPr>
        <w:ind w:leftChars="100" w:left="222"/>
        <w:rPr>
          <w:rFonts w:asciiTheme="minorEastAsia" w:hAnsiTheme="minorEastAsia"/>
        </w:rPr>
      </w:pPr>
      <w:r w:rsidRPr="00047524">
        <w:rPr>
          <w:rFonts w:asciiTheme="minorEastAsia" w:hAnsiTheme="minorEastAsia" w:hint="eastAsia"/>
        </w:rPr>
        <w:t xml:space="preserve">　国際仲裁が有する上記の利点からすれば、日本においても国際仲裁が幅広く利用されるようインフラ整備などの対策を採るべきである。</w:t>
      </w:r>
      <w:r w:rsidR="00A2752C" w:rsidRPr="00047524">
        <w:rPr>
          <w:rFonts w:asciiTheme="minorEastAsia" w:hAnsiTheme="minorEastAsia" w:hint="eastAsia"/>
        </w:rPr>
        <w:t>2017（平成29）</w:t>
      </w:r>
      <w:r w:rsidR="006A00DC" w:rsidRPr="00047524">
        <w:rPr>
          <w:rFonts w:asciiTheme="minorEastAsia" w:hAnsiTheme="minorEastAsia" w:hint="eastAsia"/>
        </w:rPr>
        <w:t>年</w:t>
      </w:r>
      <w:r w:rsidR="00A2752C" w:rsidRPr="00047524">
        <w:rPr>
          <w:rFonts w:asciiTheme="minorEastAsia" w:hAnsiTheme="minorEastAsia" w:hint="eastAsia"/>
        </w:rPr>
        <w:t>9月には</w:t>
      </w:r>
      <w:bookmarkStart w:id="0" w:name="_GoBack"/>
      <w:bookmarkEnd w:id="0"/>
      <w:r w:rsidR="00A2752C" w:rsidRPr="00047524">
        <w:rPr>
          <w:rFonts w:asciiTheme="minorEastAsia" w:hAnsiTheme="minorEastAsia" w:hint="eastAsia"/>
        </w:rPr>
        <w:t>、国際的なビジネス紛争の解決を図る国際商事仲裁の専用施設「日本国際紛争解決センター」（仮称）設置に向けた動きが始まっているが、</w:t>
      </w:r>
      <w:r w:rsidRPr="00047524">
        <w:rPr>
          <w:rFonts w:asciiTheme="minorEastAsia" w:hAnsiTheme="minorEastAsia" w:hint="eastAsia"/>
        </w:rPr>
        <w:t>具体的に、仲裁を行う審理場、ＩＴ設備、会議室等</w:t>
      </w:r>
      <w:r w:rsidR="00A2752C" w:rsidRPr="00047524">
        <w:rPr>
          <w:rFonts w:asciiTheme="minorEastAsia" w:hAnsiTheme="minorEastAsia" w:hint="eastAsia"/>
        </w:rPr>
        <w:t>、充実した設備が求められるほか</w:t>
      </w:r>
      <w:r w:rsidRPr="00047524">
        <w:rPr>
          <w:rFonts w:asciiTheme="minorEastAsia" w:hAnsiTheme="minorEastAsia" w:hint="eastAsia"/>
        </w:rPr>
        <w:t>、関係法令の整備、国際仲裁に習熟した実務家の育成等を行うことが</w:t>
      </w:r>
      <w:r w:rsidR="00A2752C" w:rsidRPr="00047524">
        <w:rPr>
          <w:rFonts w:asciiTheme="minorEastAsia" w:hAnsiTheme="minorEastAsia" w:hint="eastAsia"/>
        </w:rPr>
        <w:t>必要である</w:t>
      </w:r>
      <w:r w:rsidRPr="00047524">
        <w:rPr>
          <w:rFonts w:asciiTheme="minorEastAsia" w:hAnsiTheme="minorEastAsia" w:hint="eastAsia"/>
        </w:rPr>
        <w:t>。</w:t>
      </w:r>
    </w:p>
    <w:p w:rsidR="004106E8" w:rsidRPr="00047524" w:rsidRDefault="004106E8" w:rsidP="00047524">
      <w:pPr>
        <w:ind w:leftChars="100" w:left="222"/>
        <w:rPr>
          <w:rFonts w:asciiTheme="minorEastAsia" w:hAnsiTheme="minorEastAsia"/>
        </w:rPr>
      </w:pPr>
      <w:r w:rsidRPr="00047524">
        <w:rPr>
          <w:rFonts w:asciiTheme="minorEastAsia" w:hAnsiTheme="minorEastAsia" w:hint="eastAsia"/>
        </w:rPr>
        <w:t xml:space="preserve">　また、司法外交の強化という視点からは、国際調停の場を提供するということも期待される。国際調停は第三者の弁護士などの調停人が対立する企業の間に立ち、解決策の合意に向けた話し合いを進めさせる手続であり、各国での裁判や、民間の仲裁人が裁定する国際仲裁に比べて、短期間・低コストで進めやすいことが特徴とされる。2017（平成</w:t>
      </w:r>
      <w:r w:rsidR="00F91F49" w:rsidRPr="00047524">
        <w:rPr>
          <w:rFonts w:asciiTheme="minorEastAsia" w:hAnsiTheme="minorEastAsia" w:hint="eastAsia"/>
        </w:rPr>
        <w:t>29</w:t>
      </w:r>
      <w:r w:rsidRPr="00047524">
        <w:rPr>
          <w:rFonts w:asciiTheme="minorEastAsia" w:hAnsiTheme="minorEastAsia" w:hint="eastAsia"/>
        </w:rPr>
        <w:t>）年12月</w:t>
      </w:r>
      <w:r w:rsidR="00047524">
        <w:rPr>
          <w:rFonts w:asciiTheme="minorEastAsia" w:hAnsiTheme="minorEastAsia" w:hint="eastAsia"/>
        </w:rPr>
        <w:t>初め</w:t>
      </w:r>
      <w:r w:rsidRPr="00047524">
        <w:rPr>
          <w:rFonts w:asciiTheme="minorEastAsia" w:hAnsiTheme="minorEastAsia" w:hint="eastAsia"/>
        </w:rPr>
        <w:t>には、同志社大と公益社団法人「日本仲裁人協会」（東京・千代田</w:t>
      </w:r>
      <w:r w:rsidR="003858D3">
        <w:rPr>
          <w:rFonts w:asciiTheme="minorEastAsia" w:hAnsiTheme="minorEastAsia" w:hint="eastAsia"/>
        </w:rPr>
        <w:t>区</w:t>
      </w:r>
      <w:r w:rsidRPr="00047524">
        <w:rPr>
          <w:rFonts w:asciiTheme="minorEastAsia" w:hAnsiTheme="minorEastAsia" w:hint="eastAsia"/>
        </w:rPr>
        <w:t>）が同大</w:t>
      </w:r>
      <w:r w:rsidR="003858D3">
        <w:rPr>
          <w:rFonts w:asciiTheme="minorEastAsia" w:hAnsiTheme="minorEastAsia" w:hint="eastAsia"/>
        </w:rPr>
        <w:t>学</w:t>
      </w:r>
      <w:r w:rsidRPr="00047524">
        <w:rPr>
          <w:rFonts w:asciiTheme="minorEastAsia" w:hAnsiTheme="minorEastAsia" w:hint="eastAsia"/>
        </w:rPr>
        <w:t>内に「京都国際調停センター」を設置することで調印し、国際的なビジネス紛争を解決する国際調停の施設が、日本国内で初めて設置され、</w:t>
      </w:r>
      <w:r w:rsidRPr="00047524">
        <w:rPr>
          <w:rFonts w:asciiTheme="minorEastAsia" w:hAnsiTheme="minorEastAsia"/>
        </w:rPr>
        <w:t>2018（平成30）年の運用開始を目指す</w:t>
      </w:r>
      <w:r w:rsidRPr="00047524">
        <w:rPr>
          <w:rFonts w:asciiTheme="minorEastAsia" w:hAnsiTheme="minorEastAsia" w:hint="eastAsia"/>
        </w:rPr>
        <w:t>との報道がされ、世界的に知名度の高い京都に拠点を置くことで、海外企業の利用呼び込みにもつなげることができると期待されている。また、海外の著名調停人も含めた調停人名簿も整えるなど、国内外の企業に利便性の高い仕組みを目指すとのことであり、日本企業が国際調停を利用する場合もシンガポールなどに赴くことが多かったことを考えれば、注目される制度である。</w:t>
      </w:r>
    </w:p>
    <w:p w:rsidR="004106E8" w:rsidRPr="00047524" w:rsidRDefault="004106E8" w:rsidP="004106E8">
      <w:pPr>
        <w:ind w:firstLineChars="100" w:firstLine="222"/>
        <w:jc w:val="right"/>
        <w:rPr>
          <w:rFonts w:asciiTheme="minorEastAsia" w:hAnsiTheme="minorEastAsia"/>
        </w:rPr>
      </w:pPr>
      <w:r w:rsidRPr="00047524">
        <w:rPr>
          <w:rFonts w:asciiTheme="minorEastAsia" w:hAnsiTheme="minorEastAsia" w:hint="eastAsia"/>
        </w:rPr>
        <w:t>以上</w:t>
      </w:r>
    </w:p>
    <w:sectPr w:rsidR="004106E8" w:rsidRPr="00047524" w:rsidSect="00E26ABE">
      <w:footerReference w:type="default" r:id="rId7"/>
      <w:pgSz w:w="11906" w:h="16838" w:code="9"/>
      <w:pgMar w:top="1418" w:right="1134" w:bottom="1134" w:left="1429" w:header="851" w:footer="992" w:gutter="0"/>
      <w:cols w:space="425"/>
      <w:docGrid w:type="linesAndChars" w:linePitch="375" w:charSpace="2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C88" w:rsidRDefault="00462C88" w:rsidP="00BC60C4">
      <w:r>
        <w:separator/>
      </w:r>
    </w:p>
  </w:endnote>
  <w:endnote w:type="continuationSeparator" w:id="0">
    <w:p w:rsidR="00462C88" w:rsidRDefault="00462C88" w:rsidP="00BC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252442"/>
      <w:docPartObj>
        <w:docPartGallery w:val="Page Numbers (Bottom of Page)"/>
        <w:docPartUnique/>
      </w:docPartObj>
    </w:sdtPr>
    <w:sdtEndPr/>
    <w:sdtContent>
      <w:p w:rsidR="00AA323D" w:rsidRDefault="00AA323D">
        <w:pPr>
          <w:pStyle w:val="a5"/>
          <w:jc w:val="center"/>
        </w:pPr>
        <w:r>
          <w:fldChar w:fldCharType="begin"/>
        </w:r>
        <w:r>
          <w:instrText>PAGE   \* MERGEFORMAT</w:instrText>
        </w:r>
        <w:r>
          <w:fldChar w:fldCharType="separate"/>
        </w:r>
        <w:r w:rsidR="003858D3" w:rsidRPr="003858D3">
          <w:rPr>
            <w:noProof/>
            <w:lang w:val="ja-JP"/>
          </w:rPr>
          <w:t>5</w:t>
        </w:r>
        <w:r>
          <w:fldChar w:fldCharType="end"/>
        </w:r>
      </w:p>
    </w:sdtContent>
  </w:sdt>
  <w:p w:rsidR="00AA323D" w:rsidRDefault="00AA32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C88" w:rsidRDefault="00462C88" w:rsidP="00BC60C4">
      <w:r>
        <w:separator/>
      </w:r>
    </w:p>
  </w:footnote>
  <w:footnote w:type="continuationSeparator" w:id="0">
    <w:p w:rsidR="00462C88" w:rsidRDefault="00462C88" w:rsidP="00BC6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D4E4A"/>
    <w:multiLevelType w:val="hybridMultilevel"/>
    <w:tmpl w:val="654A6130"/>
    <w:lvl w:ilvl="0" w:tplc="E13C36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491E9C"/>
    <w:multiLevelType w:val="hybridMultilevel"/>
    <w:tmpl w:val="E1F28F20"/>
    <w:lvl w:ilvl="0" w:tplc="99ACEE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1"/>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7EE"/>
    <w:rsid w:val="0002025A"/>
    <w:rsid w:val="00047524"/>
    <w:rsid w:val="001B2C39"/>
    <w:rsid w:val="00230955"/>
    <w:rsid w:val="002A7E06"/>
    <w:rsid w:val="00356B21"/>
    <w:rsid w:val="00382E57"/>
    <w:rsid w:val="003858D3"/>
    <w:rsid w:val="003F1C9D"/>
    <w:rsid w:val="004024CA"/>
    <w:rsid w:val="004106E8"/>
    <w:rsid w:val="00414A79"/>
    <w:rsid w:val="00443F81"/>
    <w:rsid w:val="00462C88"/>
    <w:rsid w:val="00470B58"/>
    <w:rsid w:val="004B4A94"/>
    <w:rsid w:val="004C612A"/>
    <w:rsid w:val="004E7DCD"/>
    <w:rsid w:val="004F14FA"/>
    <w:rsid w:val="005056FC"/>
    <w:rsid w:val="005168AE"/>
    <w:rsid w:val="00547815"/>
    <w:rsid w:val="00601B45"/>
    <w:rsid w:val="006139D0"/>
    <w:rsid w:val="00620325"/>
    <w:rsid w:val="0068524C"/>
    <w:rsid w:val="006A00DC"/>
    <w:rsid w:val="006C4491"/>
    <w:rsid w:val="006D3044"/>
    <w:rsid w:val="007012EB"/>
    <w:rsid w:val="00732469"/>
    <w:rsid w:val="007A4FF4"/>
    <w:rsid w:val="007A5BBA"/>
    <w:rsid w:val="007B2257"/>
    <w:rsid w:val="007B37EE"/>
    <w:rsid w:val="00803701"/>
    <w:rsid w:val="00861727"/>
    <w:rsid w:val="0087539B"/>
    <w:rsid w:val="009101A5"/>
    <w:rsid w:val="0092494A"/>
    <w:rsid w:val="00980C8E"/>
    <w:rsid w:val="00982947"/>
    <w:rsid w:val="00983025"/>
    <w:rsid w:val="009A7EF2"/>
    <w:rsid w:val="009B5C7D"/>
    <w:rsid w:val="009D5709"/>
    <w:rsid w:val="00A13D91"/>
    <w:rsid w:val="00A2752C"/>
    <w:rsid w:val="00A323E9"/>
    <w:rsid w:val="00A57BAF"/>
    <w:rsid w:val="00A7501D"/>
    <w:rsid w:val="00AA323D"/>
    <w:rsid w:val="00AB2C2A"/>
    <w:rsid w:val="00AB641D"/>
    <w:rsid w:val="00B30F18"/>
    <w:rsid w:val="00BC60C4"/>
    <w:rsid w:val="00C24859"/>
    <w:rsid w:val="00C32782"/>
    <w:rsid w:val="00C9788E"/>
    <w:rsid w:val="00CB0CC8"/>
    <w:rsid w:val="00CB16E6"/>
    <w:rsid w:val="00CC6051"/>
    <w:rsid w:val="00CE210E"/>
    <w:rsid w:val="00D27D91"/>
    <w:rsid w:val="00D62100"/>
    <w:rsid w:val="00D6627C"/>
    <w:rsid w:val="00E26ABE"/>
    <w:rsid w:val="00E5485A"/>
    <w:rsid w:val="00E77251"/>
    <w:rsid w:val="00ED009D"/>
    <w:rsid w:val="00EE0DC2"/>
    <w:rsid w:val="00EF2289"/>
    <w:rsid w:val="00F81419"/>
    <w:rsid w:val="00F9101C"/>
    <w:rsid w:val="00F91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AAECB0"/>
  <w15:docId w15:val="{52819C58-A850-4B6F-9E61-11BD561E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24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0C4"/>
    <w:pPr>
      <w:tabs>
        <w:tab w:val="center" w:pos="4252"/>
        <w:tab w:val="right" w:pos="8504"/>
      </w:tabs>
      <w:snapToGrid w:val="0"/>
    </w:pPr>
  </w:style>
  <w:style w:type="character" w:customStyle="1" w:styleId="a4">
    <w:name w:val="ヘッダー (文字)"/>
    <w:basedOn w:val="a0"/>
    <w:link w:val="a3"/>
    <w:uiPriority w:val="99"/>
    <w:rsid w:val="00BC60C4"/>
  </w:style>
  <w:style w:type="paragraph" w:styleId="a5">
    <w:name w:val="footer"/>
    <w:basedOn w:val="a"/>
    <w:link w:val="a6"/>
    <w:uiPriority w:val="99"/>
    <w:unhideWhenUsed/>
    <w:rsid w:val="00BC60C4"/>
    <w:pPr>
      <w:tabs>
        <w:tab w:val="center" w:pos="4252"/>
        <w:tab w:val="right" w:pos="8504"/>
      </w:tabs>
      <w:snapToGrid w:val="0"/>
    </w:pPr>
  </w:style>
  <w:style w:type="character" w:customStyle="1" w:styleId="a6">
    <w:name w:val="フッター (文字)"/>
    <w:basedOn w:val="a0"/>
    <w:link w:val="a5"/>
    <w:uiPriority w:val="99"/>
    <w:rsid w:val="00BC60C4"/>
  </w:style>
  <w:style w:type="paragraph" w:styleId="a7">
    <w:name w:val="Balloon Text"/>
    <w:basedOn w:val="a"/>
    <w:link w:val="a8"/>
    <w:uiPriority w:val="99"/>
    <w:semiHidden/>
    <w:unhideWhenUsed/>
    <w:rsid w:val="009249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494A"/>
    <w:rPr>
      <w:rFonts w:asciiTheme="majorHAnsi" w:eastAsiaTheme="majorEastAsia" w:hAnsiTheme="majorHAnsi" w:cstheme="majorBidi"/>
      <w:sz w:val="18"/>
      <w:szCs w:val="18"/>
    </w:rPr>
  </w:style>
  <w:style w:type="paragraph" w:styleId="a9">
    <w:name w:val="List Paragraph"/>
    <w:basedOn w:val="a"/>
    <w:uiPriority w:val="34"/>
    <w:qFormat/>
    <w:rsid w:val="004106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56927">
      <w:bodyDiv w:val="1"/>
      <w:marLeft w:val="0"/>
      <w:marRight w:val="0"/>
      <w:marTop w:val="0"/>
      <w:marBottom w:val="0"/>
      <w:divBdr>
        <w:top w:val="none" w:sz="0" w:space="0" w:color="auto"/>
        <w:left w:val="none" w:sz="0" w:space="0" w:color="auto"/>
        <w:bottom w:val="none" w:sz="0" w:space="0" w:color="auto"/>
        <w:right w:val="none" w:sz="0" w:space="0" w:color="auto"/>
      </w:divBdr>
    </w:div>
    <w:div w:id="939407966">
      <w:bodyDiv w:val="1"/>
      <w:marLeft w:val="0"/>
      <w:marRight w:val="0"/>
      <w:marTop w:val="0"/>
      <w:marBottom w:val="0"/>
      <w:divBdr>
        <w:top w:val="none" w:sz="0" w:space="0" w:color="auto"/>
        <w:left w:val="none" w:sz="0" w:space="0" w:color="auto"/>
        <w:bottom w:val="none" w:sz="0" w:space="0" w:color="auto"/>
        <w:right w:val="none" w:sz="0" w:space="0" w:color="auto"/>
      </w:divBdr>
    </w:div>
    <w:div w:id="125652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1057</Words>
  <Characters>6028</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2018-01-25T16:38:00Z</dcterms:created>
  <dcterms:modified xsi:type="dcterms:W3CDTF">2018-01-25T16:47:00Z</dcterms:modified>
</cp:coreProperties>
</file>