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D51" w:rsidRPr="001D5D51" w:rsidRDefault="001D5D51" w:rsidP="001D5D51">
      <w:pPr>
        <w:rPr>
          <w:rFonts w:ascii="ＭＳ ゴシック" w:eastAsia="ＭＳ ゴシック" w:hAnsi="ＭＳ ゴシック"/>
          <w:b/>
          <w:sz w:val="24"/>
          <w:szCs w:val="24"/>
        </w:rPr>
      </w:pPr>
      <w:bookmarkStart w:id="0" w:name="_GoBack"/>
      <w:bookmarkEnd w:id="0"/>
      <w:r w:rsidRPr="001D5D51">
        <w:rPr>
          <w:rFonts w:ascii="ＭＳ ゴシック" w:eastAsia="ＭＳ ゴシック" w:hAnsi="ＭＳ ゴシック" w:hint="eastAsia"/>
          <w:b/>
          <w:sz w:val="24"/>
          <w:szCs w:val="24"/>
        </w:rPr>
        <w:t>３　刑事司法改革</w:t>
      </w:r>
    </w:p>
    <w:p w:rsidR="001D5D51" w:rsidRPr="001D5D51" w:rsidRDefault="001D5D51" w:rsidP="001D5D51">
      <w:pPr>
        <w:rPr>
          <w:rFonts w:ascii="ＭＳ ゴシック" w:eastAsia="ＭＳ ゴシック" w:hAnsi="ＭＳ ゴシック"/>
          <w:spacing w:val="6"/>
          <w:sz w:val="21"/>
          <w:szCs w:val="21"/>
        </w:rPr>
      </w:pPr>
      <w:r>
        <w:rPr>
          <w:rFonts w:ascii="ＭＳ ゴシック" w:eastAsia="ＭＳ ゴシック" w:hAnsi="ＭＳ ゴシック" w:hint="eastAsia"/>
          <w:bCs/>
          <w:sz w:val="21"/>
          <w:szCs w:val="21"/>
        </w:rPr>
        <w:t>（</w:t>
      </w:r>
      <w:r w:rsidRPr="001D5D51">
        <w:rPr>
          <w:rFonts w:ascii="ＭＳ ゴシック" w:eastAsia="ＭＳ ゴシック" w:hAnsi="ＭＳ ゴシック" w:hint="eastAsia"/>
          <w:bCs/>
          <w:sz w:val="21"/>
          <w:szCs w:val="21"/>
        </w:rPr>
        <w:t>１</w:t>
      </w:r>
      <w:r>
        <w:rPr>
          <w:rFonts w:ascii="ＭＳ ゴシック" w:eastAsia="ＭＳ ゴシック" w:hAnsi="ＭＳ ゴシック" w:hint="eastAsia"/>
          <w:bCs/>
          <w:sz w:val="21"/>
          <w:szCs w:val="21"/>
        </w:rPr>
        <w:t>）</w:t>
      </w:r>
      <w:r w:rsidRPr="001D5D51">
        <w:rPr>
          <w:rFonts w:ascii="ＭＳ ゴシック" w:eastAsia="ＭＳ ゴシック" w:hAnsi="ＭＳ ゴシック" w:hint="eastAsia"/>
          <w:bCs/>
          <w:sz w:val="21"/>
          <w:szCs w:val="21"/>
        </w:rPr>
        <w:t>刑訴法改正の概要</w:t>
      </w:r>
    </w:p>
    <w:p w:rsidR="001D5D51" w:rsidRDefault="001D5D51" w:rsidP="001D5D51">
      <w:pPr>
        <w:ind w:leftChars="200" w:left="440"/>
        <w:rPr>
          <w:sz w:val="21"/>
          <w:szCs w:val="21"/>
        </w:rPr>
      </w:pPr>
      <w:r w:rsidRPr="00062F12">
        <w:rPr>
          <w:rFonts w:hint="eastAsia"/>
          <w:sz w:val="21"/>
          <w:szCs w:val="21"/>
        </w:rPr>
        <w:t xml:space="preserve">　</w:t>
      </w:r>
      <w:r w:rsidRPr="00062F12">
        <w:rPr>
          <w:rFonts w:hAnsi="ＭＳ 明朝" w:cs="Century"/>
          <w:sz w:val="21"/>
          <w:szCs w:val="21"/>
        </w:rPr>
        <w:t>2014</w:t>
      </w:r>
      <w:r w:rsidRPr="00062F12">
        <w:rPr>
          <w:rFonts w:hAnsi="ＭＳ 明朝" w:hint="eastAsia"/>
          <w:sz w:val="21"/>
          <w:szCs w:val="21"/>
        </w:rPr>
        <w:t>(平成</w:t>
      </w:r>
      <w:r w:rsidRPr="00062F12">
        <w:rPr>
          <w:rFonts w:hAnsi="ＭＳ 明朝" w:cs="Century"/>
          <w:sz w:val="21"/>
          <w:szCs w:val="21"/>
        </w:rPr>
        <w:t>26</w:t>
      </w:r>
      <w:r w:rsidRPr="00062F12">
        <w:rPr>
          <w:rFonts w:hAnsi="ＭＳ 明朝" w:hint="eastAsia"/>
          <w:sz w:val="21"/>
          <w:szCs w:val="21"/>
        </w:rPr>
        <w:t>)年</w:t>
      </w:r>
      <w:r w:rsidRPr="00062F12">
        <w:rPr>
          <w:rFonts w:hAnsi="ＭＳ 明朝" w:cs="Century"/>
          <w:sz w:val="21"/>
          <w:szCs w:val="21"/>
        </w:rPr>
        <w:t>9</w:t>
      </w:r>
      <w:r w:rsidRPr="00062F12">
        <w:rPr>
          <w:rFonts w:hAnsi="ＭＳ 明朝" w:hint="eastAsia"/>
          <w:sz w:val="21"/>
          <w:szCs w:val="21"/>
        </w:rPr>
        <w:t>月、法制審議会において「新たな刑事司法制度の構築についての調査審議の結果」が承認され</w:t>
      </w:r>
      <w:r w:rsidRPr="00062F12">
        <w:rPr>
          <w:rFonts w:hint="eastAsia"/>
          <w:sz w:val="21"/>
          <w:szCs w:val="21"/>
        </w:rPr>
        <w:t>、それに沿った内容の刑訴法等の改正法案が平成</w:t>
      </w:r>
      <w:r w:rsidRPr="00062F12">
        <w:rPr>
          <w:rFonts w:cs="Century"/>
          <w:sz w:val="21"/>
          <w:szCs w:val="21"/>
        </w:rPr>
        <w:t>27</w:t>
      </w:r>
      <w:r w:rsidRPr="00062F12">
        <w:rPr>
          <w:rFonts w:hint="eastAsia"/>
          <w:sz w:val="21"/>
          <w:szCs w:val="21"/>
        </w:rPr>
        <w:t>年度の通常国会に提出された。同法案は、2015(</w:t>
      </w:r>
      <w:r w:rsidRPr="00062F12">
        <w:rPr>
          <w:rFonts w:hAnsi="ＭＳ 明朝" w:hint="eastAsia"/>
          <w:sz w:val="21"/>
          <w:szCs w:val="21"/>
        </w:rPr>
        <w:t>平成</w:t>
      </w:r>
      <w:r w:rsidRPr="00062F12">
        <w:rPr>
          <w:rFonts w:hAnsi="ＭＳ 明朝" w:cs="Century"/>
          <w:sz w:val="21"/>
          <w:szCs w:val="21"/>
        </w:rPr>
        <w:t>27)</w:t>
      </w:r>
      <w:r w:rsidRPr="008550B2">
        <w:rPr>
          <w:rFonts w:hAnsi="ＭＳ 明朝" w:hint="eastAsia"/>
          <w:sz w:val="21"/>
          <w:szCs w:val="21"/>
        </w:rPr>
        <w:t>年</w:t>
      </w:r>
      <w:r w:rsidRPr="0063417F">
        <w:rPr>
          <w:rFonts w:hAnsi="ＭＳ 明朝" w:cs="Century"/>
          <w:sz w:val="21"/>
          <w:szCs w:val="21"/>
        </w:rPr>
        <w:t>8</w:t>
      </w:r>
      <w:r w:rsidRPr="0063417F">
        <w:rPr>
          <w:rFonts w:hAnsi="ＭＳ 明朝" w:hint="eastAsia"/>
          <w:sz w:val="21"/>
          <w:szCs w:val="21"/>
        </w:rPr>
        <w:t>月</w:t>
      </w:r>
      <w:r w:rsidRPr="0063417F">
        <w:rPr>
          <w:rFonts w:hint="eastAsia"/>
          <w:sz w:val="21"/>
          <w:szCs w:val="21"/>
        </w:rPr>
        <w:t>に衆議院により決議され参議院に送られたが審議未了で継続審議とされたが、</w:t>
      </w:r>
      <w:r w:rsidRPr="00062F12">
        <w:rPr>
          <w:rFonts w:hAnsi="ＭＳ 明朝" w:hint="eastAsia"/>
          <w:sz w:val="21"/>
          <w:szCs w:val="21"/>
        </w:rPr>
        <w:t>平成</w:t>
      </w:r>
      <w:r w:rsidRPr="00062F12">
        <w:rPr>
          <w:rFonts w:hAnsi="ＭＳ 明朝" w:cs="Century"/>
          <w:sz w:val="21"/>
          <w:szCs w:val="21"/>
        </w:rPr>
        <w:t>28</w:t>
      </w:r>
      <w:r w:rsidRPr="00062F12">
        <w:rPr>
          <w:rFonts w:hAnsi="ＭＳ 明朝" w:hint="eastAsia"/>
          <w:sz w:val="21"/>
          <w:szCs w:val="21"/>
        </w:rPr>
        <w:t>年度の通常国会で成立し、</w:t>
      </w:r>
      <w:r w:rsidRPr="00062F12">
        <w:rPr>
          <w:rFonts w:hAnsi="ＭＳ 明朝" w:cs="Century"/>
          <w:sz w:val="21"/>
          <w:szCs w:val="21"/>
        </w:rPr>
        <w:t>2016</w:t>
      </w:r>
      <w:r w:rsidRPr="00062F12">
        <w:rPr>
          <w:rFonts w:hAnsi="ＭＳ 明朝" w:hint="eastAsia"/>
          <w:sz w:val="21"/>
          <w:szCs w:val="21"/>
        </w:rPr>
        <w:t>(平成</w:t>
      </w:r>
      <w:r w:rsidRPr="00062F12">
        <w:rPr>
          <w:rFonts w:hAnsi="ＭＳ 明朝" w:cs="Century"/>
          <w:sz w:val="21"/>
          <w:szCs w:val="21"/>
        </w:rPr>
        <w:t>28</w:t>
      </w:r>
      <w:r w:rsidRPr="00062F12">
        <w:rPr>
          <w:rFonts w:hAnsi="ＭＳ 明朝" w:hint="eastAsia"/>
          <w:sz w:val="21"/>
          <w:szCs w:val="21"/>
        </w:rPr>
        <w:t>)年</w:t>
      </w:r>
      <w:r w:rsidRPr="00062F12">
        <w:rPr>
          <w:rFonts w:hAnsi="ＭＳ 明朝" w:cs="Century"/>
          <w:sz w:val="21"/>
          <w:szCs w:val="21"/>
        </w:rPr>
        <w:t>6</w:t>
      </w:r>
      <w:r w:rsidRPr="00062F12">
        <w:rPr>
          <w:rFonts w:hAnsi="ＭＳ 明朝" w:hint="eastAsia"/>
          <w:sz w:val="21"/>
          <w:szCs w:val="21"/>
        </w:rPr>
        <w:t>月</w:t>
      </w:r>
      <w:r w:rsidRPr="00062F12">
        <w:rPr>
          <w:rFonts w:hAnsi="ＭＳ 明朝" w:cs="Century"/>
          <w:sz w:val="21"/>
          <w:szCs w:val="21"/>
        </w:rPr>
        <w:t>3</w:t>
      </w:r>
      <w:r w:rsidRPr="00062F12">
        <w:rPr>
          <w:rFonts w:hAnsi="ＭＳ 明朝" w:hint="eastAsia"/>
          <w:sz w:val="21"/>
          <w:szCs w:val="21"/>
        </w:rPr>
        <w:t>日に</w:t>
      </w:r>
      <w:r w:rsidRPr="00062F12">
        <w:rPr>
          <w:rFonts w:hint="eastAsia"/>
          <w:sz w:val="21"/>
          <w:szCs w:val="21"/>
        </w:rPr>
        <w:t>公布された。</w:t>
      </w:r>
    </w:p>
    <w:p w:rsidR="001D5D51" w:rsidRDefault="001D5D51" w:rsidP="001D5D51">
      <w:pPr>
        <w:ind w:leftChars="200" w:left="440"/>
        <w:rPr>
          <w:sz w:val="21"/>
          <w:szCs w:val="21"/>
        </w:rPr>
      </w:pPr>
      <w:r w:rsidRPr="00062F12">
        <w:rPr>
          <w:rFonts w:hint="eastAsia"/>
          <w:sz w:val="21"/>
          <w:szCs w:val="21"/>
        </w:rPr>
        <w:t xml:space="preserve">　刑訴法等の改正法は、①取調べの可視化(取調べの録音・録画制度)、②証拠開示制度の拡充、③被疑者国選弁護制度の拡充、④協議・合意制度、刑事免責制度、⑤通信傍受などが内容となっており、刑事司法制度に大きな変革をもたらすものと考えられる。</w:t>
      </w:r>
    </w:p>
    <w:p w:rsidR="001D5D51" w:rsidRPr="00062F12" w:rsidRDefault="001D5D51" w:rsidP="001D5D51">
      <w:pPr>
        <w:ind w:leftChars="200" w:left="440"/>
      </w:pPr>
      <w:r w:rsidRPr="00062F12">
        <w:rPr>
          <w:rFonts w:hint="eastAsia"/>
          <w:sz w:val="21"/>
          <w:szCs w:val="21"/>
        </w:rPr>
        <w:t xml:space="preserve">　また、</w:t>
      </w:r>
      <w:r w:rsidRPr="00062F12">
        <w:rPr>
          <w:rFonts w:hAnsi="ＭＳ 明朝" w:cs="Century"/>
          <w:sz w:val="21"/>
          <w:szCs w:val="21"/>
        </w:rPr>
        <w:t>2013</w:t>
      </w:r>
      <w:r w:rsidRPr="00062F12">
        <w:rPr>
          <w:rFonts w:hAnsi="ＭＳ 明朝" w:hint="eastAsia"/>
          <w:sz w:val="21"/>
          <w:szCs w:val="21"/>
        </w:rPr>
        <w:t>(平成</w:t>
      </w:r>
      <w:r w:rsidRPr="00062F12">
        <w:rPr>
          <w:rFonts w:hAnsi="ＭＳ 明朝" w:cs="Century"/>
          <w:sz w:val="21"/>
          <w:szCs w:val="21"/>
        </w:rPr>
        <w:t>25</w:t>
      </w:r>
      <w:r w:rsidRPr="00062F12">
        <w:rPr>
          <w:rFonts w:hAnsi="ＭＳ 明朝" w:hint="eastAsia"/>
          <w:sz w:val="21"/>
          <w:szCs w:val="21"/>
        </w:rPr>
        <w:t>)年</w:t>
      </w:r>
      <w:r w:rsidRPr="00062F12">
        <w:rPr>
          <w:rFonts w:hAnsi="ＭＳ 明朝" w:cs="Century"/>
          <w:sz w:val="21"/>
          <w:szCs w:val="21"/>
        </w:rPr>
        <w:t>6</w:t>
      </w:r>
      <w:r w:rsidRPr="00062F12">
        <w:rPr>
          <w:rFonts w:hAnsi="ＭＳ 明朝" w:hint="eastAsia"/>
          <w:sz w:val="21"/>
          <w:szCs w:val="21"/>
        </w:rPr>
        <w:t>月、刑の一部執行猶予制度を定めた刑法改正が公布され、</w:t>
      </w:r>
      <w:r w:rsidRPr="00062F12">
        <w:rPr>
          <w:rFonts w:hAnsi="ＭＳ 明朝" w:cs="Century"/>
          <w:sz w:val="21"/>
          <w:szCs w:val="21"/>
        </w:rPr>
        <w:t>2016</w:t>
      </w:r>
      <w:r w:rsidRPr="00062F12">
        <w:rPr>
          <w:rFonts w:hAnsi="ＭＳ 明朝" w:hint="eastAsia"/>
          <w:sz w:val="21"/>
          <w:szCs w:val="21"/>
        </w:rPr>
        <w:t>(平成</w:t>
      </w:r>
      <w:r w:rsidRPr="00062F12">
        <w:rPr>
          <w:rFonts w:hAnsi="ＭＳ 明朝" w:cs="Century"/>
          <w:sz w:val="21"/>
          <w:szCs w:val="21"/>
        </w:rPr>
        <w:t>28</w:t>
      </w:r>
      <w:r w:rsidRPr="00062F12">
        <w:rPr>
          <w:rFonts w:hAnsi="ＭＳ 明朝" w:hint="eastAsia"/>
          <w:sz w:val="21"/>
          <w:szCs w:val="21"/>
        </w:rPr>
        <w:t>)年</w:t>
      </w:r>
      <w:r w:rsidRPr="00062F12">
        <w:rPr>
          <w:rFonts w:hAnsi="ＭＳ 明朝" w:cs="Century"/>
          <w:sz w:val="21"/>
          <w:szCs w:val="21"/>
        </w:rPr>
        <w:t>6</w:t>
      </w:r>
      <w:r w:rsidRPr="00062F12">
        <w:rPr>
          <w:rFonts w:hAnsi="ＭＳ 明朝" w:hint="eastAsia"/>
          <w:sz w:val="21"/>
          <w:szCs w:val="21"/>
        </w:rPr>
        <w:t>月</w:t>
      </w:r>
      <w:r w:rsidRPr="00062F12">
        <w:rPr>
          <w:rFonts w:hint="eastAsia"/>
          <w:sz w:val="21"/>
          <w:szCs w:val="21"/>
        </w:rPr>
        <w:t>から施行された。</w:t>
      </w:r>
    </w:p>
    <w:p w:rsidR="002B195F" w:rsidRDefault="002B195F" w:rsidP="001D5D51">
      <w:pPr>
        <w:ind w:left="12"/>
        <w:rPr>
          <w:rFonts w:ascii="ＭＳ ゴシック" w:eastAsia="ＭＳ ゴシック" w:hAnsi="ＭＳ ゴシック"/>
          <w:bCs/>
          <w:sz w:val="21"/>
          <w:szCs w:val="21"/>
        </w:rPr>
      </w:pPr>
    </w:p>
    <w:p w:rsidR="001D5D51" w:rsidRDefault="001D5D51" w:rsidP="001D5D51">
      <w:pPr>
        <w:ind w:left="12"/>
        <w:rPr>
          <w:rFonts w:ascii="ＭＳ ゴシック" w:eastAsia="ＭＳ ゴシック" w:hAnsi="ＭＳ ゴシック"/>
          <w:spacing w:val="6"/>
          <w:sz w:val="21"/>
          <w:szCs w:val="21"/>
        </w:rPr>
      </w:pPr>
      <w:r w:rsidRPr="001D5D51">
        <w:rPr>
          <w:rFonts w:ascii="ＭＳ ゴシック" w:eastAsia="ＭＳ ゴシック" w:hAnsi="ＭＳ ゴシック" w:hint="eastAsia"/>
          <w:bCs/>
          <w:sz w:val="21"/>
          <w:szCs w:val="21"/>
        </w:rPr>
        <w:t>（２）取調べの可視化</w:t>
      </w:r>
    </w:p>
    <w:p w:rsidR="001D5D51" w:rsidRPr="001D5D51" w:rsidRDefault="001D5D51" w:rsidP="001D5D51">
      <w:pPr>
        <w:ind w:left="12" w:firstLineChars="200" w:firstLine="422"/>
        <w:rPr>
          <w:rFonts w:ascii="ＭＳ ゴシック" w:eastAsia="ＭＳ ゴシック" w:hAnsi="ＭＳ ゴシック"/>
          <w:spacing w:val="6"/>
          <w:sz w:val="21"/>
          <w:szCs w:val="21"/>
        </w:rPr>
      </w:pPr>
      <w:r>
        <w:rPr>
          <w:rFonts w:hAnsi="ＭＳ 明朝" w:cs="ＭＳ 明朝" w:hint="eastAsia"/>
          <w:b/>
          <w:bCs/>
          <w:sz w:val="21"/>
          <w:szCs w:val="21"/>
        </w:rPr>
        <w:t xml:space="preserve">①　</w:t>
      </w:r>
      <w:r w:rsidRPr="00062F12">
        <w:rPr>
          <w:rFonts w:hint="eastAsia"/>
          <w:b/>
          <w:bCs/>
          <w:sz w:val="21"/>
          <w:szCs w:val="21"/>
        </w:rPr>
        <w:t>取調べの録音・録画制度の概要</w:t>
      </w:r>
    </w:p>
    <w:p w:rsidR="001D5D51" w:rsidRPr="00062F12" w:rsidRDefault="001D5D51" w:rsidP="001D5D51">
      <w:pPr>
        <w:tabs>
          <w:tab w:val="left" w:pos="0"/>
        </w:tabs>
        <w:ind w:leftChars="5" w:left="641" w:hangingChars="300" w:hanging="630"/>
        <w:rPr>
          <w:rFonts w:hAnsi="Times New Roman"/>
          <w:spacing w:val="6"/>
          <w:sz w:val="21"/>
          <w:szCs w:val="21"/>
        </w:rPr>
      </w:pPr>
      <w:r w:rsidRPr="00062F12">
        <w:rPr>
          <w:rFonts w:hint="eastAsia"/>
          <w:sz w:val="21"/>
          <w:szCs w:val="21"/>
        </w:rPr>
        <w:t xml:space="preserve">　</w:t>
      </w:r>
      <w:r>
        <w:rPr>
          <w:rFonts w:hint="eastAsia"/>
          <w:sz w:val="21"/>
          <w:szCs w:val="21"/>
        </w:rPr>
        <w:t xml:space="preserve">　　　</w:t>
      </w:r>
      <w:r w:rsidRPr="00062F12">
        <w:rPr>
          <w:rFonts w:hint="eastAsia"/>
          <w:sz w:val="21"/>
          <w:szCs w:val="21"/>
        </w:rPr>
        <w:t>刑訴法等の改正法では、取調べ及び取調べの際作成される供述調書への過度の依存を改め、証拠の収集方法を適正化するとの理念のもと、</w:t>
      </w:r>
      <w:r w:rsidRPr="008550B2">
        <w:rPr>
          <w:rFonts w:hint="eastAsia"/>
          <w:sz w:val="21"/>
          <w:szCs w:val="21"/>
        </w:rPr>
        <w:t>取調べを可視化するた</w:t>
      </w:r>
      <w:r w:rsidRPr="0063417F">
        <w:rPr>
          <w:rFonts w:hint="eastAsia"/>
          <w:sz w:val="21"/>
          <w:szCs w:val="21"/>
        </w:rPr>
        <w:t>めの制度として、取調べの録音・録画制度が導入された。</w:t>
      </w:r>
    </w:p>
    <w:p w:rsidR="001D5D51" w:rsidRPr="00062F12" w:rsidRDefault="001D5D51" w:rsidP="001D5D51">
      <w:pPr>
        <w:tabs>
          <w:tab w:val="left" w:pos="0"/>
        </w:tabs>
        <w:ind w:left="-2" w:firstLineChars="5" w:firstLine="10"/>
        <w:rPr>
          <w:rFonts w:hAnsi="Times New Roman"/>
          <w:spacing w:val="6"/>
          <w:sz w:val="21"/>
          <w:szCs w:val="21"/>
        </w:rPr>
      </w:pPr>
      <w:r w:rsidRPr="00062F12">
        <w:rPr>
          <w:rFonts w:hint="eastAsia"/>
          <w:sz w:val="21"/>
          <w:szCs w:val="21"/>
        </w:rPr>
        <w:t xml:space="preserve">　</w:t>
      </w:r>
      <w:r>
        <w:rPr>
          <w:rFonts w:hint="eastAsia"/>
          <w:sz w:val="21"/>
          <w:szCs w:val="21"/>
        </w:rPr>
        <w:t xml:space="preserve">　　　</w:t>
      </w:r>
      <w:r w:rsidRPr="00062F12">
        <w:rPr>
          <w:rFonts w:hint="eastAsia"/>
          <w:sz w:val="21"/>
          <w:szCs w:val="21"/>
        </w:rPr>
        <w:t>刑訴法等の改正法の録音・録画制度の骨子は以下のとおりである。</w:t>
      </w:r>
    </w:p>
    <w:p w:rsidR="001D5D51" w:rsidRPr="00062F12" w:rsidRDefault="001D5D51" w:rsidP="001D5D51">
      <w:pPr>
        <w:tabs>
          <w:tab w:val="left" w:pos="0"/>
        </w:tabs>
        <w:ind w:leftChars="205" w:left="871" w:hangingChars="200" w:hanging="420"/>
        <w:rPr>
          <w:rFonts w:hAnsi="Times New Roman"/>
          <w:spacing w:val="6"/>
          <w:sz w:val="21"/>
          <w:szCs w:val="21"/>
        </w:rPr>
      </w:pPr>
      <w:r>
        <w:rPr>
          <w:rFonts w:hint="eastAsia"/>
          <w:sz w:val="21"/>
          <w:szCs w:val="21"/>
        </w:rPr>
        <w:t>（</w:t>
      </w:r>
      <w:r w:rsidRPr="00062F12">
        <w:rPr>
          <w:rFonts w:hint="eastAsia"/>
          <w:sz w:val="21"/>
          <w:szCs w:val="21"/>
        </w:rPr>
        <w:t>ア</w:t>
      </w:r>
      <w:r>
        <w:rPr>
          <w:rFonts w:hint="eastAsia"/>
          <w:sz w:val="21"/>
          <w:szCs w:val="21"/>
        </w:rPr>
        <w:t>）</w:t>
      </w:r>
      <w:r w:rsidRPr="00062F12">
        <w:rPr>
          <w:rFonts w:hint="eastAsia"/>
          <w:sz w:val="21"/>
          <w:szCs w:val="21"/>
        </w:rPr>
        <w:t>検察官は、逮捕・勾留中に一定の事件(裁判員対象事件及び検察官独自捜査事件)について被疑者として作成された被告人の供述調書の任意性が争われたときは、当該供述調書が作成された取調べの状況を録音・録画した記録媒体の証拠調べを請求しなければならない。</w:t>
      </w:r>
    </w:p>
    <w:p w:rsidR="001D5D51" w:rsidRPr="00062F12" w:rsidRDefault="001D5D51" w:rsidP="001D5D51">
      <w:pPr>
        <w:tabs>
          <w:tab w:val="left" w:pos="0"/>
        </w:tabs>
        <w:ind w:leftChars="205" w:left="871" w:hangingChars="200" w:hanging="420"/>
        <w:rPr>
          <w:rFonts w:hAnsi="Times New Roman"/>
          <w:spacing w:val="6"/>
          <w:sz w:val="21"/>
          <w:szCs w:val="21"/>
        </w:rPr>
      </w:pPr>
      <w:r>
        <w:rPr>
          <w:rFonts w:hint="eastAsia"/>
          <w:sz w:val="21"/>
          <w:szCs w:val="21"/>
        </w:rPr>
        <w:t>（</w:t>
      </w:r>
      <w:r w:rsidRPr="00062F12">
        <w:rPr>
          <w:rFonts w:hint="eastAsia"/>
          <w:sz w:val="21"/>
          <w:szCs w:val="21"/>
        </w:rPr>
        <w:t>イ</w:t>
      </w:r>
      <w:r>
        <w:rPr>
          <w:rFonts w:hint="eastAsia"/>
          <w:sz w:val="21"/>
          <w:szCs w:val="21"/>
        </w:rPr>
        <w:t>）</w:t>
      </w:r>
      <w:r w:rsidRPr="00062F12">
        <w:rPr>
          <w:rFonts w:hint="eastAsia"/>
          <w:sz w:val="21"/>
          <w:szCs w:val="21"/>
        </w:rPr>
        <w:t>一定の例外事由に該当するために録音・録画をしなかったことその他やむを得ない事情により上記記録媒体が存在しないときは、その証拠調べを請求することを要しないものとする。</w:t>
      </w:r>
    </w:p>
    <w:p w:rsidR="001D5D51" w:rsidRPr="00062F12" w:rsidRDefault="001D5D51" w:rsidP="001D5D51">
      <w:pPr>
        <w:tabs>
          <w:tab w:val="left" w:pos="0"/>
        </w:tabs>
        <w:ind w:leftChars="205" w:left="871" w:hangingChars="200" w:hanging="420"/>
        <w:rPr>
          <w:rFonts w:hAnsi="Times New Roman"/>
          <w:spacing w:val="6"/>
          <w:sz w:val="21"/>
          <w:szCs w:val="21"/>
        </w:rPr>
      </w:pPr>
      <w:r>
        <w:rPr>
          <w:rFonts w:hint="eastAsia"/>
          <w:sz w:val="21"/>
          <w:szCs w:val="21"/>
        </w:rPr>
        <w:t>（</w:t>
      </w:r>
      <w:r w:rsidRPr="00062F12">
        <w:rPr>
          <w:rFonts w:hint="eastAsia"/>
          <w:sz w:val="21"/>
          <w:szCs w:val="21"/>
        </w:rPr>
        <w:t>ウ</w:t>
      </w:r>
      <w:r>
        <w:rPr>
          <w:rFonts w:hint="eastAsia"/>
          <w:sz w:val="21"/>
          <w:szCs w:val="21"/>
        </w:rPr>
        <w:t>）</w:t>
      </w:r>
      <w:r w:rsidRPr="00062F12">
        <w:rPr>
          <w:rFonts w:hint="eastAsia"/>
          <w:sz w:val="21"/>
          <w:szCs w:val="21"/>
        </w:rPr>
        <w:t>検察官・検察事務官又は司法警察職員は、逮捕・勾留されている被疑者を一定の事件(裁判員対象事件及び検察官独自捜査事件)について取り調べるときは、以下の例外事由に該当する場合を除き、その状況を録音・録画しておかなければならないものとする。</w:t>
      </w:r>
    </w:p>
    <w:p w:rsidR="001D5D51" w:rsidRPr="00062F12" w:rsidRDefault="001D5D51" w:rsidP="001D5D51">
      <w:pPr>
        <w:tabs>
          <w:tab w:val="left" w:pos="0"/>
        </w:tabs>
        <w:ind w:left="-2" w:firstLineChars="305" w:firstLine="640"/>
        <w:rPr>
          <w:rFonts w:hAnsi="Times New Roman"/>
          <w:spacing w:val="6"/>
          <w:sz w:val="21"/>
          <w:szCs w:val="21"/>
        </w:rPr>
      </w:pPr>
      <w:r w:rsidRPr="00062F12">
        <w:rPr>
          <w:rFonts w:hint="eastAsia"/>
          <w:sz w:val="21"/>
          <w:szCs w:val="21"/>
        </w:rPr>
        <w:t>【例外事由】</w:t>
      </w:r>
    </w:p>
    <w:p w:rsidR="001D5D51" w:rsidRPr="00062F12" w:rsidRDefault="001D5D51" w:rsidP="001D5D51">
      <w:pPr>
        <w:tabs>
          <w:tab w:val="left" w:pos="0"/>
        </w:tabs>
        <w:ind w:leftChars="405" w:left="1101" w:hangingChars="100" w:hanging="210"/>
        <w:rPr>
          <w:rFonts w:hAnsi="Times New Roman"/>
          <w:spacing w:val="6"/>
          <w:sz w:val="21"/>
          <w:szCs w:val="21"/>
        </w:rPr>
      </w:pPr>
      <w:r>
        <w:rPr>
          <w:rFonts w:hint="eastAsia"/>
          <w:sz w:val="21"/>
          <w:szCs w:val="21"/>
        </w:rPr>
        <w:t>ａ</w:t>
      </w:r>
      <w:r w:rsidRPr="00062F12">
        <w:rPr>
          <w:rFonts w:hint="eastAsia"/>
          <w:sz w:val="21"/>
          <w:szCs w:val="21"/>
        </w:rPr>
        <w:t xml:space="preserve">　記録に必要な機械の故障その他やむを得ない事情により記録が困難であると認めるとき</w:t>
      </w:r>
    </w:p>
    <w:p w:rsidR="001D5D51" w:rsidRPr="00062F12" w:rsidRDefault="001D5D51" w:rsidP="001D5D51">
      <w:pPr>
        <w:tabs>
          <w:tab w:val="left" w:pos="0"/>
        </w:tabs>
        <w:ind w:leftChars="405" w:left="1101" w:hangingChars="100" w:hanging="210"/>
        <w:rPr>
          <w:rFonts w:hAnsi="Times New Roman"/>
          <w:spacing w:val="6"/>
          <w:sz w:val="21"/>
          <w:szCs w:val="21"/>
        </w:rPr>
      </w:pPr>
      <w:r>
        <w:rPr>
          <w:rFonts w:hint="eastAsia"/>
          <w:sz w:val="21"/>
          <w:szCs w:val="21"/>
        </w:rPr>
        <w:t>ｂ</w:t>
      </w:r>
      <w:r w:rsidRPr="00062F12">
        <w:rPr>
          <w:rFonts w:hint="eastAsia"/>
          <w:sz w:val="21"/>
          <w:szCs w:val="21"/>
        </w:rPr>
        <w:t xml:space="preserve">　被疑者による拒否その他の被疑者の言動により、記録をすると被疑者が十分に供述できないと認めるとき</w:t>
      </w:r>
    </w:p>
    <w:p w:rsidR="001D5D51" w:rsidRPr="00062F12" w:rsidRDefault="001D5D51" w:rsidP="001D5D51">
      <w:pPr>
        <w:tabs>
          <w:tab w:val="left" w:pos="0"/>
        </w:tabs>
        <w:ind w:leftChars="405" w:left="1101" w:hangingChars="100" w:hanging="210"/>
        <w:rPr>
          <w:rFonts w:hAnsi="Times New Roman"/>
          <w:spacing w:val="6"/>
          <w:sz w:val="21"/>
          <w:szCs w:val="21"/>
        </w:rPr>
      </w:pPr>
      <w:r>
        <w:rPr>
          <w:rFonts w:hint="eastAsia"/>
          <w:sz w:val="21"/>
          <w:szCs w:val="21"/>
        </w:rPr>
        <w:lastRenderedPageBreak/>
        <w:t>ｃ</w:t>
      </w:r>
      <w:r w:rsidRPr="00062F12">
        <w:rPr>
          <w:rFonts w:hint="eastAsia"/>
          <w:sz w:val="21"/>
          <w:szCs w:val="21"/>
        </w:rPr>
        <w:t xml:space="preserve">　被疑者の供述状況が明らかにされると、被疑者又はその親族に対し、身体・財産への加害行為又は畏怖・困惑行為がなされるおそれがあることにより、記録をすると被疑者が十分に供述できないと認めるとき</w:t>
      </w:r>
    </w:p>
    <w:p w:rsidR="001D5D51" w:rsidRPr="00062F12" w:rsidRDefault="001D5D51" w:rsidP="001D5D51">
      <w:pPr>
        <w:tabs>
          <w:tab w:val="left" w:pos="0"/>
        </w:tabs>
        <w:ind w:left="-2" w:firstLineChars="405" w:firstLine="850"/>
        <w:rPr>
          <w:rFonts w:hAnsi="Times New Roman"/>
          <w:spacing w:val="6"/>
          <w:sz w:val="21"/>
          <w:szCs w:val="21"/>
        </w:rPr>
      </w:pPr>
      <w:r>
        <w:rPr>
          <w:rFonts w:hint="eastAsia"/>
          <w:sz w:val="21"/>
          <w:szCs w:val="21"/>
        </w:rPr>
        <w:t>ｄ</w:t>
      </w:r>
      <w:r w:rsidRPr="00062F12">
        <w:rPr>
          <w:rFonts w:hint="eastAsia"/>
          <w:sz w:val="21"/>
          <w:szCs w:val="21"/>
        </w:rPr>
        <w:t xml:space="preserve">　当該事件が指定暴力団の構成員によるものであると認めるとき</w:t>
      </w:r>
    </w:p>
    <w:p w:rsidR="001D5D51" w:rsidRPr="00062F12" w:rsidRDefault="001D5D51" w:rsidP="001D5D51">
      <w:pPr>
        <w:tabs>
          <w:tab w:val="left" w:pos="0"/>
        </w:tabs>
        <w:ind w:firstLineChars="200" w:firstLine="422"/>
        <w:rPr>
          <w:rFonts w:hAnsi="Times New Roman"/>
          <w:spacing w:val="6"/>
          <w:sz w:val="21"/>
          <w:szCs w:val="21"/>
        </w:rPr>
      </w:pPr>
      <w:r>
        <w:rPr>
          <w:rFonts w:hint="eastAsia"/>
          <w:b/>
          <w:bCs/>
          <w:sz w:val="21"/>
          <w:szCs w:val="21"/>
        </w:rPr>
        <w:t xml:space="preserve">②　</w:t>
      </w:r>
      <w:r w:rsidRPr="00062F12">
        <w:rPr>
          <w:rFonts w:hint="eastAsia"/>
          <w:b/>
          <w:bCs/>
          <w:sz w:val="21"/>
          <w:szCs w:val="21"/>
        </w:rPr>
        <w:t>取調べの録音・録画制度の問題点</w:t>
      </w:r>
    </w:p>
    <w:p w:rsidR="001D5D51" w:rsidRPr="00062F12" w:rsidRDefault="001D5D51" w:rsidP="001D5D51">
      <w:pPr>
        <w:tabs>
          <w:tab w:val="left" w:pos="0"/>
        </w:tabs>
        <w:ind w:left="-2" w:firstLineChars="205" w:firstLine="430"/>
        <w:rPr>
          <w:rFonts w:hAnsi="Times New Roman"/>
          <w:spacing w:val="6"/>
          <w:sz w:val="21"/>
          <w:szCs w:val="21"/>
        </w:rPr>
      </w:pPr>
      <w:r>
        <w:rPr>
          <w:rFonts w:hint="eastAsia"/>
          <w:sz w:val="21"/>
          <w:szCs w:val="21"/>
        </w:rPr>
        <w:t>（</w:t>
      </w:r>
      <w:r w:rsidRPr="00062F12">
        <w:rPr>
          <w:rFonts w:hint="eastAsia"/>
          <w:sz w:val="21"/>
          <w:szCs w:val="21"/>
        </w:rPr>
        <w:t>ア</w:t>
      </w:r>
      <w:r>
        <w:rPr>
          <w:rFonts w:hint="eastAsia"/>
          <w:sz w:val="21"/>
          <w:szCs w:val="21"/>
        </w:rPr>
        <w:t>）</w:t>
      </w:r>
      <w:r w:rsidRPr="00062F12">
        <w:rPr>
          <w:rFonts w:hint="eastAsia"/>
          <w:sz w:val="21"/>
          <w:szCs w:val="21"/>
        </w:rPr>
        <w:t>例外事由の存在</w:t>
      </w:r>
    </w:p>
    <w:p w:rsidR="001D5D51" w:rsidRDefault="001D5D51" w:rsidP="001D5D51">
      <w:pPr>
        <w:tabs>
          <w:tab w:val="left" w:pos="0"/>
        </w:tabs>
        <w:ind w:leftChars="400" w:left="880" w:firstLineChars="5" w:firstLine="10"/>
        <w:rPr>
          <w:sz w:val="21"/>
          <w:szCs w:val="21"/>
        </w:rPr>
      </w:pPr>
      <w:r w:rsidRPr="00062F12">
        <w:rPr>
          <w:rFonts w:hint="eastAsia"/>
          <w:sz w:val="21"/>
          <w:szCs w:val="21"/>
        </w:rPr>
        <w:t xml:space="preserve">　取調べの録音・録画制度には、供述証拠の任意性・信用性を担保し公判審理の充実化に資するとの趣旨と、取調べ過程の透明化を通して違法・不当な取調べを抑止し、取調べの適正化を図ることによって被疑者の黙秘権を実質的に保障するとの趣旨がある。</w:t>
      </w:r>
    </w:p>
    <w:p w:rsidR="001D5D51" w:rsidRDefault="001D5D51" w:rsidP="001D5D51">
      <w:pPr>
        <w:tabs>
          <w:tab w:val="left" w:pos="0"/>
        </w:tabs>
        <w:ind w:leftChars="400" w:left="880" w:firstLineChars="5" w:firstLine="10"/>
        <w:rPr>
          <w:sz w:val="21"/>
          <w:szCs w:val="21"/>
        </w:rPr>
      </w:pPr>
      <w:r w:rsidRPr="00062F12">
        <w:rPr>
          <w:rFonts w:hint="eastAsia"/>
          <w:sz w:val="21"/>
          <w:szCs w:val="21"/>
        </w:rPr>
        <w:t xml:space="preserve">　後者の趣旨からは、録音・録画は取調べ全過程について行われる必要があるといえ、捜査官の裁量により取調べの一部について録音・録画がされず，その際の取調べ内容が隠蔽されることは厳に避けられなければならない。</w:t>
      </w:r>
    </w:p>
    <w:p w:rsidR="001D5D51" w:rsidRDefault="001D5D51" w:rsidP="001D5D51">
      <w:pPr>
        <w:tabs>
          <w:tab w:val="left" w:pos="0"/>
        </w:tabs>
        <w:ind w:leftChars="400" w:left="880" w:firstLineChars="5" w:firstLine="10"/>
        <w:rPr>
          <w:sz w:val="21"/>
          <w:szCs w:val="21"/>
        </w:rPr>
      </w:pPr>
      <w:r w:rsidRPr="00062F12">
        <w:rPr>
          <w:rFonts w:hint="eastAsia"/>
          <w:sz w:val="21"/>
          <w:szCs w:val="21"/>
        </w:rPr>
        <w:t xml:space="preserve">　取調べの録音・録画の実施にあたって一定の例外事由を定めるということは、取調官が、例外事由に該当するか否かを恣意的に判断することを通じて、取調べの録音・録画制度が取調べ全過程の録音・録画を定めた趣旨を潜脱する可能性がある。</w:t>
      </w:r>
    </w:p>
    <w:p w:rsidR="001D5D51" w:rsidRPr="00062F12" w:rsidRDefault="001D5D51" w:rsidP="001D5D51">
      <w:pPr>
        <w:tabs>
          <w:tab w:val="left" w:pos="0"/>
        </w:tabs>
        <w:ind w:leftChars="400" w:left="880" w:firstLineChars="5" w:firstLine="10"/>
        <w:rPr>
          <w:rFonts w:hAnsi="Times New Roman"/>
          <w:spacing w:val="6"/>
          <w:sz w:val="21"/>
          <w:szCs w:val="21"/>
        </w:rPr>
      </w:pPr>
      <w:r w:rsidRPr="00062F12">
        <w:rPr>
          <w:rFonts w:hint="eastAsia"/>
          <w:sz w:val="21"/>
          <w:szCs w:val="21"/>
        </w:rPr>
        <w:t xml:space="preserve">　したがって、例外事由については、①そもそも例外事由を認めるのが相当か、②相当だとしても、今回該当するとされた例外事由の内容が相当かについて再度検討する必要がある。</w:t>
      </w:r>
    </w:p>
    <w:p w:rsidR="001D5D51" w:rsidRPr="00062F12" w:rsidRDefault="001D5D51" w:rsidP="001D5D51">
      <w:pPr>
        <w:tabs>
          <w:tab w:val="left" w:pos="0"/>
        </w:tabs>
        <w:ind w:left="-2" w:firstLineChars="205" w:firstLine="430"/>
        <w:rPr>
          <w:rFonts w:hAnsi="Times New Roman"/>
          <w:spacing w:val="6"/>
          <w:sz w:val="21"/>
          <w:szCs w:val="21"/>
        </w:rPr>
      </w:pPr>
      <w:r>
        <w:rPr>
          <w:rFonts w:hint="eastAsia"/>
          <w:sz w:val="21"/>
          <w:szCs w:val="21"/>
        </w:rPr>
        <w:t>（</w:t>
      </w:r>
      <w:r w:rsidRPr="00062F12">
        <w:rPr>
          <w:rFonts w:hint="eastAsia"/>
          <w:sz w:val="21"/>
          <w:szCs w:val="21"/>
        </w:rPr>
        <w:t>イ</w:t>
      </w:r>
      <w:r>
        <w:rPr>
          <w:rFonts w:hint="eastAsia"/>
          <w:sz w:val="21"/>
          <w:szCs w:val="21"/>
        </w:rPr>
        <w:t>）</w:t>
      </w:r>
      <w:r w:rsidRPr="00062F12">
        <w:rPr>
          <w:rFonts w:hint="eastAsia"/>
          <w:sz w:val="21"/>
          <w:szCs w:val="21"/>
        </w:rPr>
        <w:t>録音・録画対象となる事件の範囲</w:t>
      </w:r>
    </w:p>
    <w:p w:rsidR="001D5D51" w:rsidRDefault="001D5D51" w:rsidP="001D5D51">
      <w:pPr>
        <w:tabs>
          <w:tab w:val="left" w:pos="0"/>
        </w:tabs>
        <w:ind w:leftChars="5" w:left="851" w:hangingChars="400" w:hanging="840"/>
        <w:rPr>
          <w:sz w:val="21"/>
          <w:szCs w:val="21"/>
        </w:rPr>
      </w:pPr>
      <w:r w:rsidRPr="00062F12">
        <w:rPr>
          <w:rFonts w:hint="eastAsia"/>
          <w:sz w:val="21"/>
          <w:szCs w:val="21"/>
        </w:rPr>
        <w:t xml:space="preserve">　</w:t>
      </w:r>
      <w:r>
        <w:rPr>
          <w:rFonts w:hint="eastAsia"/>
          <w:sz w:val="21"/>
          <w:szCs w:val="21"/>
        </w:rPr>
        <w:t xml:space="preserve">　　　　</w:t>
      </w:r>
      <w:r w:rsidRPr="00062F12">
        <w:rPr>
          <w:rFonts w:hint="eastAsia"/>
          <w:sz w:val="21"/>
          <w:szCs w:val="21"/>
        </w:rPr>
        <w:t>現在の取調べの状況として、取調べの透明化のため取調べの全過程を録画するという意味での取調べの可視化は実現するに至っていないが、専ら供述の任意性や信用性等に関する立証のため、言い換えれば被疑者の捜査段階における供述の任意性・信用性の立証及び公判における被告人の供述の信用性の弾劾のための警察官取調べ・検察官取調べの録画は既に試行されており、その件数も増加している。</w:t>
      </w:r>
    </w:p>
    <w:p w:rsidR="001D5D51" w:rsidRDefault="001D5D51" w:rsidP="001D5D51">
      <w:pPr>
        <w:tabs>
          <w:tab w:val="left" w:pos="0"/>
        </w:tabs>
        <w:ind w:leftChars="405" w:left="891"/>
        <w:rPr>
          <w:sz w:val="21"/>
          <w:szCs w:val="21"/>
        </w:rPr>
      </w:pPr>
      <w:r w:rsidRPr="00062F12">
        <w:rPr>
          <w:rFonts w:hint="eastAsia"/>
          <w:sz w:val="21"/>
          <w:szCs w:val="21"/>
        </w:rPr>
        <w:t xml:space="preserve">　検察庁では、裁判員裁判対象事件、知的障害によってコミュニケーション能力に問題のある被疑者等</w:t>
      </w:r>
      <w:r>
        <w:rPr>
          <w:sz w:val="21"/>
          <w:szCs w:val="21"/>
        </w:rPr>
        <w:t>(</w:t>
      </w:r>
      <w:r w:rsidRPr="00062F12">
        <w:rPr>
          <w:rFonts w:hint="eastAsia"/>
          <w:sz w:val="21"/>
          <w:szCs w:val="21"/>
        </w:rPr>
        <w:t>「知的障害を有する被疑者であって、言語によるコミュニケーション能力に問題があり、又は取調官に対する迎合性や被暗示性が高いと認められる者」)に係る事件、精神の障害等により責任能力の減退・喪失が疑われる被疑者に係る事件、独自捜査事件については、身体拘束下の被疑者取調べの全過程が録画されるというケースが増えている。また、警察官による身体拘束下の被疑者取調べについても、裁判員裁判対象事件や知的障害によってコミュニケーション能力に問題のある被疑者等に係る事件では、取調べの一部が録画されるというケースが増えつつある。</w:t>
      </w:r>
    </w:p>
    <w:p w:rsidR="001D5D51" w:rsidRDefault="001D5D51" w:rsidP="001D5D51">
      <w:pPr>
        <w:tabs>
          <w:tab w:val="left" w:pos="0"/>
        </w:tabs>
        <w:ind w:leftChars="405" w:left="891"/>
        <w:rPr>
          <w:sz w:val="21"/>
          <w:szCs w:val="21"/>
        </w:rPr>
      </w:pPr>
      <w:r w:rsidRPr="00062F12">
        <w:rPr>
          <w:rFonts w:hint="eastAsia"/>
          <w:sz w:val="21"/>
          <w:szCs w:val="21"/>
        </w:rPr>
        <w:lastRenderedPageBreak/>
        <w:t xml:space="preserve">　更に、2014(平成26)年5月、最高検が今までの運用を拡大することを全国の検察庁に伝えたことが発表された。対象とされる事件は、裁判員裁判対象事件、特捜部の独自捜査事件、客観的証拠が少なく供述が重要であると考えられる事案と、独自に運用を広げて試行しているようである。</w:t>
      </w:r>
    </w:p>
    <w:p w:rsidR="001D5D51" w:rsidRPr="0063417F" w:rsidRDefault="001D5D51" w:rsidP="001D5D51">
      <w:pPr>
        <w:tabs>
          <w:tab w:val="left" w:pos="0"/>
        </w:tabs>
        <w:ind w:leftChars="405" w:left="891"/>
        <w:rPr>
          <w:rFonts w:hAnsi="Times New Roman"/>
          <w:spacing w:val="6"/>
          <w:sz w:val="21"/>
          <w:szCs w:val="21"/>
        </w:rPr>
      </w:pPr>
      <w:r w:rsidRPr="00062F12">
        <w:rPr>
          <w:rFonts w:hint="eastAsia"/>
          <w:sz w:val="21"/>
          <w:szCs w:val="21"/>
        </w:rPr>
        <w:t xml:space="preserve">　今回、録音・録画の対象となる事件は、裁判員裁判対象事件及び検察官独自捜査事件に限られているが、取調べ全過程を録音・録画し、取調べの適正化を図る必要がある事件はこの</w:t>
      </w:r>
      <w:r>
        <w:rPr>
          <w:rFonts w:hint="eastAsia"/>
          <w:sz w:val="21"/>
          <w:szCs w:val="21"/>
        </w:rPr>
        <w:t>二</w:t>
      </w:r>
      <w:r w:rsidRPr="0063417F">
        <w:rPr>
          <w:rFonts w:hint="eastAsia"/>
          <w:sz w:val="21"/>
          <w:szCs w:val="21"/>
        </w:rPr>
        <w:t>つに限られないと考えられ、現在の取調べ実務に比しても狭い範囲に限られていることから、録音・録画の対象となる事件については拡大の方向で再度検討する必要がある。</w:t>
      </w:r>
    </w:p>
    <w:p w:rsidR="001D5D51" w:rsidRPr="00062F12" w:rsidRDefault="001D5D51" w:rsidP="001D5D51">
      <w:pPr>
        <w:tabs>
          <w:tab w:val="left" w:pos="0"/>
        </w:tabs>
        <w:ind w:left="-2" w:firstLineChars="205" w:firstLine="430"/>
        <w:rPr>
          <w:rFonts w:hAnsi="Times New Roman"/>
          <w:spacing w:val="6"/>
          <w:sz w:val="21"/>
          <w:szCs w:val="21"/>
        </w:rPr>
      </w:pPr>
      <w:r>
        <w:rPr>
          <w:rFonts w:hint="eastAsia"/>
          <w:sz w:val="21"/>
          <w:szCs w:val="21"/>
        </w:rPr>
        <w:t>（</w:t>
      </w:r>
      <w:r w:rsidRPr="00062F12">
        <w:rPr>
          <w:rFonts w:hint="eastAsia"/>
          <w:sz w:val="21"/>
          <w:szCs w:val="21"/>
        </w:rPr>
        <w:t>ウ</w:t>
      </w:r>
      <w:r>
        <w:rPr>
          <w:rFonts w:hint="eastAsia"/>
          <w:sz w:val="21"/>
          <w:szCs w:val="21"/>
        </w:rPr>
        <w:t>）</w:t>
      </w:r>
      <w:r w:rsidRPr="00062F12">
        <w:rPr>
          <w:rFonts w:hint="eastAsia"/>
          <w:sz w:val="21"/>
          <w:szCs w:val="21"/>
        </w:rPr>
        <w:t>録音・録画の対象となる者</w:t>
      </w:r>
    </w:p>
    <w:p w:rsidR="001D5D51" w:rsidRPr="00062F12" w:rsidRDefault="001D5D51" w:rsidP="001D5D51">
      <w:pPr>
        <w:tabs>
          <w:tab w:val="left" w:pos="0"/>
        </w:tabs>
        <w:ind w:leftChars="5" w:left="851" w:hangingChars="400" w:hanging="840"/>
        <w:rPr>
          <w:sz w:val="21"/>
          <w:szCs w:val="21"/>
        </w:rPr>
      </w:pPr>
      <w:r w:rsidRPr="00062F12">
        <w:rPr>
          <w:rFonts w:hint="eastAsia"/>
          <w:sz w:val="21"/>
          <w:szCs w:val="21"/>
        </w:rPr>
        <w:t xml:space="preserve">　</w:t>
      </w:r>
      <w:r>
        <w:rPr>
          <w:rFonts w:hint="eastAsia"/>
          <w:sz w:val="21"/>
          <w:szCs w:val="21"/>
        </w:rPr>
        <w:t xml:space="preserve">　　　　</w:t>
      </w:r>
      <w:r w:rsidRPr="00062F12">
        <w:rPr>
          <w:rFonts w:hint="eastAsia"/>
          <w:sz w:val="21"/>
          <w:szCs w:val="21"/>
        </w:rPr>
        <w:t>今回、録音・録画の対象となる者は、被疑者に限られているが、取調べ全過程を録音・録画し、取調べの適正化を図る必要がある者は被疑者に限られず、参考人も同様と考えられ、録音・録画の対象となる者については拡大の方向で再度検討する必要がある。</w:t>
      </w:r>
    </w:p>
    <w:p w:rsidR="002B195F" w:rsidRDefault="002B195F" w:rsidP="002B195F">
      <w:pPr>
        <w:tabs>
          <w:tab w:val="left" w:pos="0"/>
        </w:tabs>
        <w:ind w:left="-2" w:firstLineChars="5" w:firstLine="10"/>
        <w:rPr>
          <w:rFonts w:ascii="ＭＳ ゴシック" w:eastAsia="ＭＳ ゴシック" w:hAnsi="ＭＳ ゴシック"/>
          <w:bCs/>
          <w:sz w:val="21"/>
          <w:szCs w:val="21"/>
        </w:rPr>
      </w:pPr>
    </w:p>
    <w:p w:rsidR="001D5D51" w:rsidRPr="002B195F" w:rsidRDefault="001D5D51" w:rsidP="002B195F">
      <w:pPr>
        <w:tabs>
          <w:tab w:val="left" w:pos="0"/>
        </w:tabs>
        <w:ind w:left="-2" w:firstLineChars="5" w:firstLine="10"/>
        <w:rPr>
          <w:rFonts w:ascii="ＭＳ ゴシック" w:eastAsia="ＭＳ ゴシック" w:hAnsi="ＭＳ ゴシック"/>
          <w:spacing w:val="6"/>
          <w:sz w:val="21"/>
          <w:szCs w:val="21"/>
        </w:rPr>
      </w:pPr>
      <w:r w:rsidRPr="002B195F">
        <w:rPr>
          <w:rFonts w:ascii="ＭＳ ゴシック" w:eastAsia="ＭＳ ゴシック" w:hAnsi="ＭＳ ゴシック" w:hint="eastAsia"/>
          <w:bCs/>
          <w:sz w:val="21"/>
          <w:szCs w:val="21"/>
        </w:rPr>
        <w:t>（３）司法取引制度</w:t>
      </w:r>
    </w:p>
    <w:p w:rsidR="001D5D51" w:rsidRPr="00062F12" w:rsidRDefault="001D5D51" w:rsidP="001D5D51">
      <w:pPr>
        <w:tabs>
          <w:tab w:val="left" w:pos="0"/>
        </w:tabs>
        <w:ind w:left="-2" w:firstLineChars="205" w:firstLine="432"/>
        <w:rPr>
          <w:rFonts w:hAnsi="Times New Roman"/>
          <w:spacing w:val="6"/>
          <w:sz w:val="21"/>
          <w:szCs w:val="21"/>
        </w:rPr>
      </w:pPr>
      <w:r>
        <w:rPr>
          <w:rFonts w:hint="eastAsia"/>
          <w:b/>
          <w:bCs/>
          <w:sz w:val="21"/>
          <w:szCs w:val="21"/>
        </w:rPr>
        <w:t xml:space="preserve">①　</w:t>
      </w:r>
      <w:r w:rsidRPr="00062F12">
        <w:rPr>
          <w:rFonts w:hint="eastAsia"/>
          <w:b/>
          <w:bCs/>
          <w:sz w:val="21"/>
          <w:szCs w:val="21"/>
        </w:rPr>
        <w:t>司法取引制度の概要</w:t>
      </w:r>
    </w:p>
    <w:p w:rsidR="001D5D51" w:rsidRDefault="001D5D51" w:rsidP="001D5D51">
      <w:pPr>
        <w:tabs>
          <w:tab w:val="left" w:pos="0"/>
        </w:tabs>
        <w:ind w:leftChars="5" w:left="641" w:hangingChars="300" w:hanging="630"/>
        <w:rPr>
          <w:sz w:val="21"/>
          <w:szCs w:val="21"/>
        </w:rPr>
      </w:pPr>
      <w:r w:rsidRPr="00062F12">
        <w:rPr>
          <w:sz w:val="21"/>
          <w:szCs w:val="21"/>
        </w:rPr>
        <w:t xml:space="preserve"> </w:t>
      </w:r>
      <w:r>
        <w:rPr>
          <w:sz w:val="21"/>
          <w:szCs w:val="21"/>
        </w:rPr>
        <w:t xml:space="preserve"> 　　　</w:t>
      </w:r>
      <w:r w:rsidRPr="00062F12">
        <w:rPr>
          <w:rFonts w:hint="eastAsia"/>
          <w:sz w:val="21"/>
          <w:szCs w:val="21"/>
        </w:rPr>
        <w:t>刑訴法等の改正法では、取調べへの過度の依存を改めて適正な手続の下で供述証拠をより広範囲に収集するための制度として、「証拠収集等への協力及び訴追に関する合意制度」が導入された。</w:t>
      </w:r>
    </w:p>
    <w:p w:rsidR="001D5D51" w:rsidRDefault="001D5D51" w:rsidP="001D5D51">
      <w:pPr>
        <w:tabs>
          <w:tab w:val="left" w:pos="0"/>
        </w:tabs>
        <w:ind w:leftChars="305" w:left="671" w:firstLineChars="100" w:firstLine="210"/>
        <w:rPr>
          <w:sz w:val="21"/>
          <w:szCs w:val="21"/>
        </w:rPr>
      </w:pPr>
      <w:r w:rsidRPr="00062F12">
        <w:rPr>
          <w:rFonts w:hint="eastAsia"/>
          <w:sz w:val="21"/>
          <w:szCs w:val="21"/>
        </w:rPr>
        <w:t>協力・合意制度は、検察官の訴追裁量権の下で、検察官が必要と認めるときに、被疑者・被告人及び弁護人との間で協議して、被疑者・被告人に対して処分または量刑上の恩典を提示することにより、合意の下で、被疑者・被告人から捜査・公判への協力を引き出す制度であり、いわゆる司法取引である。</w:t>
      </w:r>
    </w:p>
    <w:p w:rsidR="001D5D51" w:rsidRDefault="001D5D51" w:rsidP="001D5D51">
      <w:pPr>
        <w:tabs>
          <w:tab w:val="left" w:pos="0"/>
        </w:tabs>
        <w:ind w:leftChars="305" w:left="671" w:firstLineChars="100" w:firstLine="210"/>
        <w:rPr>
          <w:sz w:val="21"/>
          <w:szCs w:val="21"/>
        </w:rPr>
      </w:pPr>
      <w:r w:rsidRPr="00062F12">
        <w:rPr>
          <w:sz w:val="21"/>
          <w:szCs w:val="21"/>
        </w:rPr>
        <w:t xml:space="preserve"> </w:t>
      </w:r>
      <w:r>
        <w:rPr>
          <w:sz w:val="21"/>
          <w:szCs w:val="21"/>
        </w:rPr>
        <w:t xml:space="preserve"> </w:t>
      </w:r>
      <w:r w:rsidRPr="00062F12">
        <w:rPr>
          <w:rFonts w:hint="eastAsia"/>
          <w:sz w:val="21"/>
          <w:szCs w:val="21"/>
        </w:rPr>
        <w:t>具体的には、被疑者・被告人</w:t>
      </w:r>
      <w:r>
        <w:rPr>
          <w:rFonts w:hint="eastAsia"/>
          <w:sz w:val="21"/>
          <w:szCs w:val="21"/>
        </w:rPr>
        <w:t>が</w:t>
      </w:r>
      <w:r w:rsidRPr="00062F12">
        <w:rPr>
          <w:rFonts w:hint="eastAsia"/>
          <w:sz w:val="21"/>
          <w:szCs w:val="21"/>
        </w:rPr>
        <w:t>、取調べや証人尋問の際に真実の供述をする、証拠の提出をするなどの一定の行為をすることと引換え</w:t>
      </w:r>
      <w:r w:rsidRPr="008550B2">
        <w:rPr>
          <w:rFonts w:hint="eastAsia"/>
          <w:sz w:val="21"/>
          <w:szCs w:val="21"/>
        </w:rPr>
        <w:t>に、検察官は、公訴提起しない、略式命令の請求をする、一定の求刑をするなどの一定の行為を行うことを合意する。</w:t>
      </w:r>
    </w:p>
    <w:p w:rsidR="001D5D51" w:rsidRPr="00062F12" w:rsidRDefault="001D5D51" w:rsidP="001D5D51">
      <w:pPr>
        <w:tabs>
          <w:tab w:val="left" w:pos="0"/>
        </w:tabs>
        <w:ind w:leftChars="305" w:left="671" w:firstLineChars="100" w:firstLine="210"/>
        <w:rPr>
          <w:rFonts w:hAnsi="Times New Roman"/>
          <w:spacing w:val="6"/>
          <w:sz w:val="21"/>
          <w:szCs w:val="21"/>
        </w:rPr>
      </w:pPr>
      <w:r w:rsidRPr="00062F12">
        <w:rPr>
          <w:sz w:val="21"/>
          <w:szCs w:val="21"/>
        </w:rPr>
        <w:t xml:space="preserve"> </w:t>
      </w:r>
      <w:r>
        <w:rPr>
          <w:sz w:val="21"/>
          <w:szCs w:val="21"/>
        </w:rPr>
        <w:t xml:space="preserve"> </w:t>
      </w:r>
      <w:r w:rsidRPr="00062F12">
        <w:rPr>
          <w:rFonts w:hint="eastAsia"/>
          <w:sz w:val="21"/>
          <w:szCs w:val="21"/>
        </w:rPr>
        <w:t>司法取引制度は、会社犯罪や贈収賄事件等のような財政経済事犯、特殊詐欺や薬物・銃器売買などの組織犯罪等の密行性の高い犯罪類型において、取調べ以外の方法により供述証拠を獲得する手段とされており、対象犯罪は、これらの犯罪に限定されている。</w:t>
      </w:r>
    </w:p>
    <w:p w:rsidR="001D5D51" w:rsidRPr="00062F12" w:rsidRDefault="001D5D51" w:rsidP="001D5D51">
      <w:pPr>
        <w:tabs>
          <w:tab w:val="left" w:pos="0"/>
        </w:tabs>
        <w:ind w:left="-2" w:firstLineChars="205" w:firstLine="432"/>
        <w:rPr>
          <w:rFonts w:ascii="Century" w:cs="ＭＳ 明朝"/>
          <w:b/>
          <w:bCs/>
          <w:sz w:val="21"/>
          <w:szCs w:val="21"/>
        </w:rPr>
      </w:pPr>
      <w:r>
        <w:rPr>
          <w:rFonts w:hint="eastAsia"/>
          <w:b/>
          <w:bCs/>
          <w:sz w:val="21"/>
          <w:szCs w:val="21"/>
        </w:rPr>
        <w:t xml:space="preserve">②　</w:t>
      </w:r>
      <w:r w:rsidRPr="00062F12">
        <w:rPr>
          <w:rFonts w:hint="eastAsia"/>
          <w:b/>
          <w:bCs/>
          <w:sz w:val="21"/>
          <w:szCs w:val="21"/>
        </w:rPr>
        <w:t>司法取引制度の問題点</w:t>
      </w:r>
    </w:p>
    <w:p w:rsidR="001D5D51" w:rsidRPr="00062F12" w:rsidRDefault="001D5D51" w:rsidP="001D5D51">
      <w:pPr>
        <w:tabs>
          <w:tab w:val="left" w:pos="0"/>
        </w:tabs>
        <w:ind w:left="-2" w:firstLineChars="205" w:firstLine="430"/>
        <w:rPr>
          <w:rFonts w:hAnsi="Times New Roman"/>
          <w:spacing w:val="6"/>
          <w:sz w:val="21"/>
          <w:szCs w:val="21"/>
        </w:rPr>
      </w:pPr>
      <w:r>
        <w:rPr>
          <w:rFonts w:hint="eastAsia"/>
          <w:sz w:val="21"/>
          <w:szCs w:val="21"/>
        </w:rPr>
        <w:t>（</w:t>
      </w:r>
      <w:r w:rsidRPr="00062F12">
        <w:rPr>
          <w:rFonts w:hint="eastAsia"/>
          <w:sz w:val="21"/>
          <w:szCs w:val="21"/>
        </w:rPr>
        <w:t>ア</w:t>
      </w:r>
      <w:r>
        <w:rPr>
          <w:rFonts w:hint="eastAsia"/>
          <w:sz w:val="21"/>
          <w:szCs w:val="21"/>
        </w:rPr>
        <w:t>）</w:t>
      </w:r>
      <w:r w:rsidRPr="00062F12">
        <w:rPr>
          <w:rFonts w:hint="eastAsia"/>
          <w:sz w:val="21"/>
          <w:szCs w:val="21"/>
        </w:rPr>
        <w:t>虚偽供述のおそれが高い</w:t>
      </w:r>
    </w:p>
    <w:p w:rsidR="001D5D51" w:rsidRDefault="001D5D51" w:rsidP="001D5D51">
      <w:pPr>
        <w:tabs>
          <w:tab w:val="left" w:pos="0"/>
        </w:tabs>
        <w:ind w:leftChars="5" w:left="851" w:hangingChars="400" w:hanging="840"/>
        <w:rPr>
          <w:sz w:val="21"/>
          <w:szCs w:val="21"/>
        </w:rPr>
      </w:pPr>
      <w:r w:rsidRPr="00062F12">
        <w:rPr>
          <w:rFonts w:hint="eastAsia"/>
          <w:sz w:val="21"/>
          <w:szCs w:val="21"/>
        </w:rPr>
        <w:t xml:space="preserve">　</w:t>
      </w:r>
      <w:r>
        <w:rPr>
          <w:rFonts w:hint="eastAsia"/>
          <w:sz w:val="21"/>
          <w:szCs w:val="21"/>
        </w:rPr>
        <w:t xml:space="preserve">　　　　</w:t>
      </w:r>
      <w:r w:rsidRPr="00062F12">
        <w:rPr>
          <w:rFonts w:hint="eastAsia"/>
          <w:sz w:val="21"/>
          <w:szCs w:val="21"/>
        </w:rPr>
        <w:t>新設された制度は、他人の犯罪事実を明らかにし、いわば他人を売ることによって、その者が恩恵を受けることを認めるものであって、共犯者の引き込み供述</w:t>
      </w:r>
      <w:r w:rsidRPr="00062F12">
        <w:rPr>
          <w:rFonts w:hint="eastAsia"/>
          <w:sz w:val="21"/>
          <w:szCs w:val="21"/>
        </w:rPr>
        <w:lastRenderedPageBreak/>
        <w:t>や責任転嫁の供述を誘発し、新たな冤罪の温床にもなりかねない危険を持つ制度である。</w:t>
      </w:r>
    </w:p>
    <w:p w:rsidR="001D5D51" w:rsidRDefault="001D5D51" w:rsidP="001D5D51">
      <w:pPr>
        <w:tabs>
          <w:tab w:val="left" w:pos="0"/>
        </w:tabs>
        <w:ind w:leftChars="405" w:left="891"/>
        <w:rPr>
          <w:sz w:val="21"/>
          <w:szCs w:val="21"/>
        </w:rPr>
      </w:pPr>
      <w:r w:rsidRPr="00062F12">
        <w:rPr>
          <w:rFonts w:hint="eastAsia"/>
          <w:sz w:val="21"/>
          <w:szCs w:val="21"/>
        </w:rPr>
        <w:t xml:space="preserve">　被疑者・被告人に与えられる利益・恩典は、不起訴にする、罰金にする、一定の求刑をするなどという極めて大きなもので、これまでの裁判例では、利益誘導による自白として任意性が否定される事例があるように、被疑者・被告人の心理に多大に不当な影響を与える可能性があるものといえる。</w:t>
      </w:r>
    </w:p>
    <w:p w:rsidR="001D5D51" w:rsidRPr="00062F12" w:rsidRDefault="001D5D51" w:rsidP="001D5D51">
      <w:pPr>
        <w:tabs>
          <w:tab w:val="left" w:pos="0"/>
        </w:tabs>
        <w:ind w:leftChars="405" w:left="891"/>
        <w:rPr>
          <w:rFonts w:hAnsi="Times New Roman"/>
          <w:spacing w:val="6"/>
          <w:sz w:val="21"/>
          <w:szCs w:val="21"/>
        </w:rPr>
      </w:pPr>
      <w:r w:rsidRPr="00062F12">
        <w:rPr>
          <w:rFonts w:hint="eastAsia"/>
          <w:sz w:val="21"/>
          <w:szCs w:val="21"/>
        </w:rPr>
        <w:t xml:space="preserve">　さらに、司法取引の対象となる者は、他人の特定の犯罪について情報を持っている者であり、取引によって利益を得ることができる者であって、その者自身が特定の犯罪で訴追されて有罪判決を受ける可能性が高い者である。具体的にいえば、特定の犯罪の主犯格の者より下位の共犯者であることが多いと予想されることから、典型的に共犯者の引き込み供述や責任転嫁の供述を行うことが想定される者である。</w:t>
      </w:r>
    </w:p>
    <w:p w:rsidR="001D5D51" w:rsidRPr="00062F12" w:rsidRDefault="001D5D51" w:rsidP="001D5D51">
      <w:pPr>
        <w:tabs>
          <w:tab w:val="left" w:pos="0"/>
        </w:tabs>
        <w:ind w:firstLineChars="200" w:firstLine="420"/>
        <w:rPr>
          <w:rFonts w:hAnsi="Times New Roman"/>
          <w:spacing w:val="6"/>
          <w:sz w:val="21"/>
          <w:szCs w:val="21"/>
        </w:rPr>
      </w:pPr>
      <w:r>
        <w:rPr>
          <w:rFonts w:hint="eastAsia"/>
          <w:sz w:val="21"/>
          <w:szCs w:val="21"/>
        </w:rPr>
        <w:t>（</w:t>
      </w:r>
      <w:r w:rsidRPr="00062F12">
        <w:rPr>
          <w:rFonts w:hint="eastAsia"/>
          <w:sz w:val="21"/>
          <w:szCs w:val="21"/>
        </w:rPr>
        <w:t>イ</w:t>
      </w:r>
      <w:r>
        <w:rPr>
          <w:rFonts w:hint="eastAsia"/>
          <w:sz w:val="21"/>
          <w:szCs w:val="21"/>
        </w:rPr>
        <w:t>）</w:t>
      </w:r>
      <w:r w:rsidRPr="00062F12">
        <w:rPr>
          <w:rFonts w:hint="eastAsia"/>
          <w:sz w:val="21"/>
          <w:szCs w:val="21"/>
        </w:rPr>
        <w:t>弁護人の関与は供述の信用性の担保にならない</w:t>
      </w:r>
    </w:p>
    <w:p w:rsidR="001D5D51" w:rsidRDefault="001D5D51" w:rsidP="001D5D51">
      <w:pPr>
        <w:tabs>
          <w:tab w:val="left" w:pos="0"/>
        </w:tabs>
        <w:ind w:leftChars="5" w:left="851" w:hangingChars="400" w:hanging="840"/>
        <w:rPr>
          <w:sz w:val="21"/>
          <w:szCs w:val="21"/>
        </w:rPr>
      </w:pPr>
      <w:r w:rsidRPr="00062F12">
        <w:rPr>
          <w:rFonts w:cs="Century" w:hint="eastAsia"/>
          <w:sz w:val="21"/>
          <w:szCs w:val="21"/>
        </w:rPr>
        <w:t xml:space="preserve">　</w:t>
      </w:r>
      <w:r>
        <w:rPr>
          <w:rFonts w:cs="Century" w:hint="eastAsia"/>
          <w:sz w:val="21"/>
          <w:szCs w:val="21"/>
        </w:rPr>
        <w:t xml:space="preserve">　　　　</w:t>
      </w:r>
      <w:r w:rsidRPr="00062F12">
        <w:rPr>
          <w:rFonts w:hint="eastAsia"/>
          <w:sz w:val="21"/>
          <w:szCs w:val="21"/>
        </w:rPr>
        <w:t>合意については弁護人の関与が必要的とされており、これによって、合意をした者の供述の信用性が担保されるとする見解があるが、およそ捜査や弁護活動の実態を無視した議論である。</w:t>
      </w:r>
    </w:p>
    <w:p w:rsidR="001D5D51" w:rsidRDefault="001D5D51" w:rsidP="001D5D51">
      <w:pPr>
        <w:tabs>
          <w:tab w:val="left" w:pos="0"/>
        </w:tabs>
        <w:ind w:leftChars="405" w:left="891"/>
        <w:rPr>
          <w:sz w:val="21"/>
          <w:szCs w:val="21"/>
        </w:rPr>
      </w:pPr>
      <w:r w:rsidRPr="00062F12">
        <w:rPr>
          <w:rFonts w:hint="eastAsia"/>
          <w:sz w:val="21"/>
          <w:szCs w:val="21"/>
        </w:rPr>
        <w:t xml:space="preserve">　そもそも、合意に関与する弁護人は、合意による司法取引をして利益・恩典を受ける被疑者・被告人の弁護人であり、引き込み供述や責任転嫁の供述をされて、不利益を被る立場の被疑者・被告人の弁護人ではない。したがって、本来的に、被疑者・被告人の供述が虚偽か否かの信用性を、吟味するのに適した立場にある者ではない。</w:t>
      </w:r>
    </w:p>
    <w:p w:rsidR="001D5D51" w:rsidRDefault="001D5D51" w:rsidP="001D5D51">
      <w:pPr>
        <w:tabs>
          <w:tab w:val="left" w:pos="0"/>
        </w:tabs>
        <w:ind w:leftChars="405" w:left="891"/>
        <w:rPr>
          <w:sz w:val="21"/>
          <w:szCs w:val="21"/>
        </w:rPr>
      </w:pPr>
      <w:r w:rsidRPr="00062F12">
        <w:rPr>
          <w:rFonts w:hint="eastAsia"/>
          <w:sz w:val="21"/>
          <w:szCs w:val="21"/>
        </w:rPr>
        <w:t xml:space="preserve">　さらに、合意に関与する弁護人は、基本的には、接見中に被疑者・被告人の主張を聞くことしかできず、裏付け捜査もできない状況にあることから、被疑者・被告人の供述について、虚偽か否かを判断しうる資料は何も持っていない状況にある。</w:t>
      </w:r>
    </w:p>
    <w:p w:rsidR="001D5D51" w:rsidRDefault="001D5D51" w:rsidP="001D5D51">
      <w:pPr>
        <w:tabs>
          <w:tab w:val="left" w:pos="0"/>
        </w:tabs>
        <w:ind w:leftChars="405" w:left="891"/>
        <w:rPr>
          <w:sz w:val="21"/>
          <w:szCs w:val="21"/>
        </w:rPr>
      </w:pPr>
      <w:r w:rsidRPr="00062F12">
        <w:rPr>
          <w:rFonts w:hint="eastAsia"/>
          <w:sz w:val="21"/>
          <w:szCs w:val="21"/>
        </w:rPr>
        <w:t xml:space="preserve">　少なくとも、捜査機関が持っている証拠の開示を受けて、被疑者・被告人の供述を吟味しなければ、被疑者・被告人の供述が真実か否かを判断することは不可能であるが、証拠開示制度は存在しない。また、捜査の密行性を考えると、捜査機関から任意の証拠開示を受けるということは考え難いところである。さらに、仮に、捜査機関が、任意に一定の証拠を開示したとしても、単に捜査機関にとって都合の良い証拠を開示したのみであって、それが適正な証拠を開示したか否かも分からない状況にある。</w:t>
      </w:r>
    </w:p>
    <w:p w:rsidR="001D5D51" w:rsidRPr="00062F12" w:rsidRDefault="001D5D51" w:rsidP="001D5D51">
      <w:pPr>
        <w:tabs>
          <w:tab w:val="left" w:pos="0"/>
        </w:tabs>
        <w:ind w:leftChars="405" w:left="891"/>
        <w:rPr>
          <w:rFonts w:hAnsi="Times New Roman"/>
          <w:spacing w:val="6"/>
          <w:sz w:val="21"/>
          <w:szCs w:val="21"/>
        </w:rPr>
      </w:pPr>
      <w:r w:rsidRPr="00062F12">
        <w:rPr>
          <w:rFonts w:hint="eastAsia"/>
          <w:sz w:val="21"/>
          <w:szCs w:val="21"/>
        </w:rPr>
        <w:t xml:space="preserve">　いずれにせよ、弁護人が関与しても担保できるのは、被疑者・被告人の供述の信用性ではなく、被疑者・被告人の供述の任意性でしかないことを認識しておくべきであろう。</w:t>
      </w:r>
    </w:p>
    <w:p w:rsidR="001D5D51" w:rsidRDefault="001D5D51" w:rsidP="001D5D51">
      <w:pPr>
        <w:tabs>
          <w:tab w:val="left" w:pos="0"/>
        </w:tabs>
        <w:ind w:left="-2" w:firstLineChars="205" w:firstLine="430"/>
        <w:rPr>
          <w:sz w:val="21"/>
          <w:szCs w:val="21"/>
        </w:rPr>
      </w:pPr>
      <w:r>
        <w:rPr>
          <w:rFonts w:hint="eastAsia"/>
          <w:sz w:val="21"/>
          <w:szCs w:val="21"/>
        </w:rPr>
        <w:t>（</w:t>
      </w:r>
      <w:r w:rsidRPr="00062F12">
        <w:rPr>
          <w:rFonts w:hint="eastAsia"/>
          <w:sz w:val="21"/>
          <w:szCs w:val="21"/>
        </w:rPr>
        <w:t>ウ</w:t>
      </w:r>
      <w:r>
        <w:rPr>
          <w:rFonts w:hint="eastAsia"/>
          <w:sz w:val="21"/>
          <w:szCs w:val="21"/>
        </w:rPr>
        <w:t>）</w:t>
      </w:r>
      <w:r w:rsidRPr="00062F12">
        <w:rPr>
          <w:rFonts w:hint="eastAsia"/>
          <w:sz w:val="21"/>
          <w:szCs w:val="21"/>
        </w:rPr>
        <w:t>その他の問題点</w:t>
      </w:r>
    </w:p>
    <w:p w:rsidR="001D5D51" w:rsidRPr="00062F12" w:rsidRDefault="001D5D51" w:rsidP="001D5D51">
      <w:pPr>
        <w:tabs>
          <w:tab w:val="left" w:pos="0"/>
        </w:tabs>
        <w:ind w:leftChars="405" w:left="1101" w:hangingChars="100" w:hanging="210"/>
        <w:rPr>
          <w:rFonts w:hAnsi="Times New Roman"/>
          <w:spacing w:val="6"/>
          <w:sz w:val="21"/>
          <w:szCs w:val="21"/>
        </w:rPr>
      </w:pPr>
      <w:r>
        <w:rPr>
          <w:sz w:val="21"/>
          <w:szCs w:val="21"/>
        </w:rPr>
        <w:lastRenderedPageBreak/>
        <w:t>ａ</w:t>
      </w:r>
      <w:r w:rsidRPr="00062F12">
        <w:rPr>
          <w:rFonts w:hint="eastAsia"/>
          <w:sz w:val="21"/>
          <w:szCs w:val="21"/>
        </w:rPr>
        <w:t xml:space="preserve">　司法取引をした者に対する反対尋問によって、その者の供述の信用性・任意性の吟味は困難と考えられる。そもそも、共犯者の虚偽供述を反対尋問で吟味することは難しい。さらに、司法取引によって合意した内容については、供述調書が作成されることが多いと考えられるため、供述調書の証拠開示を受けて検討することができるが、最も重要な合意に至るまでの経過である協議の内容については、可視化されなかったことから、協議の状況が明らかにならない状況にある。</w:t>
      </w:r>
    </w:p>
    <w:p w:rsidR="001D5D51" w:rsidRPr="00062F12" w:rsidRDefault="001D5D51" w:rsidP="001D5D51">
      <w:pPr>
        <w:tabs>
          <w:tab w:val="left" w:pos="0"/>
        </w:tabs>
        <w:ind w:leftChars="405" w:left="1101" w:hangingChars="100" w:hanging="210"/>
        <w:rPr>
          <w:rFonts w:hAnsi="Times New Roman"/>
          <w:spacing w:val="6"/>
          <w:sz w:val="21"/>
          <w:szCs w:val="21"/>
        </w:rPr>
      </w:pPr>
      <w:r>
        <w:rPr>
          <w:sz w:val="21"/>
          <w:szCs w:val="21"/>
        </w:rPr>
        <w:t>ｂ</w:t>
      </w:r>
      <w:r w:rsidRPr="00062F12">
        <w:rPr>
          <w:rFonts w:hint="eastAsia"/>
          <w:sz w:val="21"/>
          <w:szCs w:val="21"/>
        </w:rPr>
        <w:t xml:space="preserve">　司法取引に基づく供述の信用性を担保する方法として、虚偽供述の処罰が規定された。しかし、これまでは、捜査側に有利な証言について、偽証罪として適切に処罰されてこなかったと思われる。したがって、捜査に協力した司法取引の段階の虚偽供述についても、適切に処罰されることは想定し難い。</w:t>
      </w:r>
    </w:p>
    <w:p w:rsidR="001D5D51" w:rsidRPr="00062F12" w:rsidRDefault="001D5D51" w:rsidP="001D5D51">
      <w:pPr>
        <w:tabs>
          <w:tab w:val="left" w:pos="0"/>
        </w:tabs>
        <w:ind w:leftChars="405" w:left="1101" w:hangingChars="100" w:hanging="210"/>
        <w:rPr>
          <w:rFonts w:hAnsi="Times New Roman"/>
          <w:spacing w:val="6"/>
          <w:sz w:val="21"/>
          <w:szCs w:val="21"/>
        </w:rPr>
      </w:pPr>
      <w:r>
        <w:rPr>
          <w:sz w:val="21"/>
          <w:szCs w:val="21"/>
        </w:rPr>
        <w:t>ｃ</w:t>
      </w:r>
      <w:r w:rsidRPr="00062F12">
        <w:rPr>
          <w:rFonts w:hint="eastAsia"/>
          <w:sz w:val="21"/>
          <w:szCs w:val="21"/>
        </w:rPr>
        <w:t xml:space="preserve">　司法取引をし、その後検面調書が作成された場合であっても、公判廷において、その者が供述を拒絶した場合には、刑訴法</w:t>
      </w:r>
      <w:r>
        <w:rPr>
          <w:rFonts w:hint="eastAsia"/>
          <w:sz w:val="21"/>
          <w:szCs w:val="21"/>
        </w:rPr>
        <w:t>第</w:t>
      </w:r>
      <w:r w:rsidRPr="00062F12">
        <w:rPr>
          <w:rFonts w:hint="eastAsia"/>
          <w:sz w:val="21"/>
          <w:szCs w:val="21"/>
        </w:rPr>
        <w:t>321条1項2号書面として証拠採用される可能性もある。</w:t>
      </w:r>
    </w:p>
    <w:p w:rsidR="001D5D51" w:rsidRDefault="001D5D51" w:rsidP="001D5D51">
      <w:pPr>
        <w:tabs>
          <w:tab w:val="left" w:pos="0"/>
        </w:tabs>
        <w:ind w:leftChars="405" w:left="1101" w:hangingChars="100" w:hanging="210"/>
        <w:rPr>
          <w:sz w:val="21"/>
          <w:szCs w:val="21"/>
        </w:rPr>
      </w:pPr>
      <w:r>
        <w:rPr>
          <w:sz w:val="21"/>
          <w:szCs w:val="21"/>
        </w:rPr>
        <w:t>ｄ</w:t>
      </w:r>
      <w:r w:rsidRPr="00062F12">
        <w:rPr>
          <w:rFonts w:hint="eastAsia"/>
          <w:sz w:val="21"/>
          <w:szCs w:val="21"/>
        </w:rPr>
        <w:t xml:space="preserve">　協議をしたものの合意に至らなかった場合には、協議の際に被疑者・被告人が供述した内容は、その者の裁判の証拠としては使用することができないとされる。</w:t>
      </w:r>
    </w:p>
    <w:p w:rsidR="001D5D51" w:rsidRDefault="001D5D51" w:rsidP="001D5D51">
      <w:pPr>
        <w:tabs>
          <w:tab w:val="left" w:pos="0"/>
        </w:tabs>
        <w:ind w:leftChars="505" w:left="1111"/>
        <w:rPr>
          <w:sz w:val="21"/>
          <w:szCs w:val="21"/>
        </w:rPr>
      </w:pPr>
      <w:r w:rsidRPr="00062F12">
        <w:rPr>
          <w:rFonts w:hint="eastAsia"/>
          <w:sz w:val="21"/>
          <w:szCs w:val="21"/>
        </w:rPr>
        <w:t xml:space="preserve">　しかし、協議の際の被疑者・被告人の供述に基づいて得られた証拠やその供述から派生した証拠については、何らの規定がないことから、被疑者・被告人の刑事事件においても証拠とすることができると思われる。</w:t>
      </w:r>
    </w:p>
    <w:p w:rsidR="001D5D51" w:rsidRDefault="001D5D51" w:rsidP="001D5D51">
      <w:pPr>
        <w:tabs>
          <w:tab w:val="left" w:pos="0"/>
        </w:tabs>
        <w:ind w:leftChars="505" w:left="1111"/>
        <w:rPr>
          <w:sz w:val="21"/>
          <w:szCs w:val="21"/>
        </w:rPr>
      </w:pPr>
      <w:r w:rsidRPr="00062F12">
        <w:rPr>
          <w:rFonts w:hint="eastAsia"/>
          <w:color w:val="0000FF"/>
          <w:sz w:val="21"/>
          <w:szCs w:val="21"/>
        </w:rPr>
        <w:t xml:space="preserve">　</w:t>
      </w:r>
      <w:r w:rsidRPr="00062F12">
        <w:rPr>
          <w:rFonts w:hint="eastAsia"/>
          <w:sz w:val="21"/>
          <w:szCs w:val="21"/>
        </w:rPr>
        <w:t>また、協議の際の被疑者・被告人の供述を端緒として、検察官が、新たな捜査を展開することも可能となっている。</w:t>
      </w:r>
    </w:p>
    <w:p w:rsidR="001D5D51" w:rsidRPr="00062F12" w:rsidRDefault="001D5D51" w:rsidP="001D5D51">
      <w:pPr>
        <w:tabs>
          <w:tab w:val="left" w:pos="0"/>
        </w:tabs>
        <w:ind w:leftChars="505" w:left="1111"/>
        <w:rPr>
          <w:sz w:val="21"/>
          <w:szCs w:val="21"/>
        </w:rPr>
      </w:pPr>
      <w:r w:rsidRPr="00062F12">
        <w:rPr>
          <w:rFonts w:hint="eastAsia"/>
          <w:sz w:val="21"/>
          <w:szCs w:val="21"/>
        </w:rPr>
        <w:t xml:space="preserve">　このように、協議の際の被疑者・被告人の供述が、結果的に、被疑者・被告人に不利な方向に働く可能性がある。</w:t>
      </w:r>
    </w:p>
    <w:p w:rsidR="002B195F" w:rsidRDefault="002B195F" w:rsidP="002B195F">
      <w:pPr>
        <w:tabs>
          <w:tab w:val="left" w:pos="0"/>
        </w:tabs>
        <w:ind w:left="-2" w:firstLineChars="5" w:firstLine="10"/>
        <w:rPr>
          <w:rFonts w:ascii="ＭＳ ゴシック" w:eastAsia="ＭＳ ゴシック" w:hAnsi="ＭＳ ゴシック"/>
          <w:bCs/>
          <w:sz w:val="21"/>
          <w:szCs w:val="21"/>
        </w:rPr>
      </w:pPr>
    </w:p>
    <w:p w:rsidR="001D5D51" w:rsidRPr="002B195F" w:rsidRDefault="002B195F" w:rsidP="002B195F">
      <w:pPr>
        <w:tabs>
          <w:tab w:val="left" w:pos="0"/>
        </w:tabs>
        <w:ind w:left="-2" w:firstLineChars="5" w:firstLine="10"/>
        <w:rPr>
          <w:rFonts w:ascii="ＭＳ ゴシック" w:eastAsia="ＭＳ ゴシック" w:hAnsi="ＭＳ ゴシック"/>
          <w:spacing w:val="6"/>
          <w:sz w:val="21"/>
          <w:szCs w:val="21"/>
        </w:rPr>
      </w:pPr>
      <w:r w:rsidRPr="002B195F">
        <w:rPr>
          <w:rFonts w:ascii="ＭＳ ゴシック" w:eastAsia="ＭＳ ゴシック" w:hAnsi="ＭＳ ゴシック" w:hint="eastAsia"/>
          <w:bCs/>
          <w:sz w:val="21"/>
          <w:szCs w:val="21"/>
        </w:rPr>
        <w:t>（</w:t>
      </w:r>
      <w:r w:rsidR="001D5D51" w:rsidRPr="002B195F">
        <w:rPr>
          <w:rFonts w:ascii="ＭＳ ゴシック" w:eastAsia="ＭＳ ゴシック" w:hAnsi="ＭＳ ゴシック" w:hint="eastAsia"/>
          <w:bCs/>
          <w:sz w:val="21"/>
          <w:szCs w:val="21"/>
        </w:rPr>
        <w:t>４</w:t>
      </w:r>
      <w:r w:rsidRPr="002B195F">
        <w:rPr>
          <w:rFonts w:ascii="ＭＳ ゴシック" w:eastAsia="ＭＳ ゴシック" w:hAnsi="ＭＳ ゴシック" w:hint="eastAsia"/>
          <w:bCs/>
          <w:sz w:val="21"/>
          <w:szCs w:val="21"/>
        </w:rPr>
        <w:t>）</w:t>
      </w:r>
      <w:r w:rsidR="001D5D51" w:rsidRPr="002B195F">
        <w:rPr>
          <w:rFonts w:ascii="ＭＳ ゴシック" w:eastAsia="ＭＳ ゴシック" w:hAnsi="ＭＳ ゴシック" w:hint="eastAsia"/>
          <w:bCs/>
          <w:sz w:val="21"/>
          <w:szCs w:val="21"/>
        </w:rPr>
        <w:t>刑事免責制度</w:t>
      </w:r>
    </w:p>
    <w:p w:rsidR="001D5D51" w:rsidRPr="00062F12" w:rsidRDefault="002B195F" w:rsidP="002B195F">
      <w:pPr>
        <w:tabs>
          <w:tab w:val="left" w:pos="0"/>
        </w:tabs>
        <w:ind w:left="-2" w:firstLineChars="205" w:firstLine="432"/>
        <w:rPr>
          <w:rFonts w:ascii="Century" w:cs="ＭＳ 明朝"/>
          <w:b/>
          <w:bCs/>
          <w:sz w:val="21"/>
          <w:szCs w:val="21"/>
        </w:rPr>
      </w:pPr>
      <w:r>
        <w:rPr>
          <w:rFonts w:hint="eastAsia"/>
          <w:b/>
          <w:bCs/>
          <w:sz w:val="21"/>
          <w:szCs w:val="21"/>
        </w:rPr>
        <w:t xml:space="preserve">①　</w:t>
      </w:r>
      <w:r w:rsidR="001D5D51" w:rsidRPr="00062F12">
        <w:rPr>
          <w:rFonts w:hint="eastAsia"/>
          <w:b/>
          <w:bCs/>
          <w:sz w:val="21"/>
          <w:szCs w:val="21"/>
        </w:rPr>
        <w:t>刑事免責制度の概要</w:t>
      </w:r>
    </w:p>
    <w:p w:rsidR="002B195F" w:rsidRDefault="001D5D51" w:rsidP="002B195F">
      <w:pPr>
        <w:tabs>
          <w:tab w:val="left" w:pos="0"/>
        </w:tabs>
        <w:ind w:leftChars="5" w:left="641" w:hangingChars="300" w:hanging="630"/>
        <w:rPr>
          <w:sz w:val="21"/>
          <w:szCs w:val="21"/>
        </w:rPr>
      </w:pPr>
      <w:r w:rsidRPr="00062F12">
        <w:rPr>
          <w:rFonts w:hint="eastAsia"/>
          <w:sz w:val="21"/>
          <w:szCs w:val="21"/>
        </w:rPr>
        <w:t xml:space="preserve">　</w:t>
      </w:r>
      <w:r w:rsidR="002B195F">
        <w:rPr>
          <w:rFonts w:hint="eastAsia"/>
          <w:sz w:val="21"/>
          <w:szCs w:val="21"/>
        </w:rPr>
        <w:t xml:space="preserve">　　　</w:t>
      </w:r>
      <w:r w:rsidRPr="00062F12">
        <w:rPr>
          <w:rFonts w:hint="eastAsia"/>
          <w:sz w:val="21"/>
          <w:szCs w:val="21"/>
        </w:rPr>
        <w:t>刑訴法等の改正法案では、取調べへの過度の依存を改めるという理念の下に、供述調書への過度の依存を改め、公判廷に真正な証拠が顕出されるための制度として、刑事免責制度が導入された。</w:t>
      </w:r>
    </w:p>
    <w:p w:rsidR="002B195F" w:rsidRDefault="001D5D51" w:rsidP="002B195F">
      <w:pPr>
        <w:tabs>
          <w:tab w:val="left" w:pos="0"/>
        </w:tabs>
        <w:ind w:leftChars="305" w:left="671"/>
        <w:rPr>
          <w:sz w:val="21"/>
          <w:szCs w:val="21"/>
        </w:rPr>
      </w:pPr>
      <w:r w:rsidRPr="00062F12">
        <w:rPr>
          <w:rFonts w:hint="eastAsia"/>
          <w:sz w:val="21"/>
          <w:szCs w:val="21"/>
        </w:rPr>
        <w:t xml:space="preserve">　刑事免責制度とは、裁判所の決定(免責決定)により、証人尋問で得られた供述及びそれに由来する証拠を、当該証人に対して不利益な証拠とすることを禁止することで、当該証人の自己負罪拒否特権を消滅させて、証言を強制する制度である。</w:t>
      </w:r>
    </w:p>
    <w:p w:rsidR="001D5D51" w:rsidRPr="00062F12" w:rsidRDefault="001D5D51" w:rsidP="002B195F">
      <w:pPr>
        <w:tabs>
          <w:tab w:val="left" w:pos="0"/>
        </w:tabs>
        <w:ind w:leftChars="305" w:left="671"/>
        <w:rPr>
          <w:rFonts w:hAnsi="Times New Roman"/>
          <w:spacing w:val="6"/>
          <w:sz w:val="21"/>
          <w:szCs w:val="21"/>
        </w:rPr>
      </w:pPr>
      <w:r w:rsidRPr="00062F12">
        <w:rPr>
          <w:rFonts w:cs="Century" w:hint="eastAsia"/>
          <w:sz w:val="21"/>
          <w:szCs w:val="21"/>
        </w:rPr>
        <w:t xml:space="preserve">　</w:t>
      </w:r>
      <w:r w:rsidRPr="00062F12">
        <w:rPr>
          <w:rFonts w:hint="eastAsia"/>
          <w:sz w:val="21"/>
          <w:szCs w:val="21"/>
        </w:rPr>
        <w:t>刑事免責制度も、司法取引制度と同様に、会社犯罪や贈収賄事件等のような財政経済事犯、特殊詐欺や薬物・銃器売買などの組織犯罪等の密行性の高い犯罪類型において、取調べ以外の方法により供述証拠を獲得する手段として導入された制度で</w:t>
      </w:r>
      <w:r w:rsidRPr="00062F12">
        <w:rPr>
          <w:rFonts w:hint="eastAsia"/>
          <w:sz w:val="21"/>
          <w:szCs w:val="21"/>
        </w:rPr>
        <w:lastRenderedPageBreak/>
        <w:t>ある。しかし、刑事免責制度は、司法取引制度とは異なり、対象犯罪が限定されておらず、全ての犯罪において刑事免責制度を使うことが可能となっている。</w:t>
      </w:r>
    </w:p>
    <w:p w:rsidR="001D5D51" w:rsidRPr="00062F12" w:rsidRDefault="002B195F" w:rsidP="002B195F">
      <w:pPr>
        <w:tabs>
          <w:tab w:val="left" w:pos="0"/>
        </w:tabs>
        <w:ind w:left="-2" w:firstLineChars="105" w:firstLine="221"/>
        <w:rPr>
          <w:rFonts w:hAnsi="Times New Roman"/>
          <w:spacing w:val="6"/>
          <w:sz w:val="21"/>
          <w:szCs w:val="21"/>
        </w:rPr>
      </w:pPr>
      <w:r>
        <w:rPr>
          <w:rFonts w:hint="eastAsia"/>
          <w:b/>
          <w:bCs/>
          <w:sz w:val="21"/>
          <w:szCs w:val="21"/>
        </w:rPr>
        <w:t xml:space="preserve">②　</w:t>
      </w:r>
      <w:r w:rsidR="001D5D51" w:rsidRPr="00062F12">
        <w:rPr>
          <w:rFonts w:hint="eastAsia"/>
          <w:b/>
          <w:bCs/>
          <w:sz w:val="21"/>
          <w:szCs w:val="21"/>
        </w:rPr>
        <w:t>刑事免責制度の問題点</w:t>
      </w:r>
    </w:p>
    <w:p w:rsidR="001D5D51" w:rsidRPr="00062F12" w:rsidRDefault="002B195F" w:rsidP="002B195F">
      <w:pPr>
        <w:tabs>
          <w:tab w:val="left" w:pos="0"/>
        </w:tabs>
        <w:ind w:left="-2" w:firstLineChars="105" w:firstLine="220"/>
        <w:rPr>
          <w:rFonts w:hAnsi="Times New Roman"/>
          <w:spacing w:val="6"/>
          <w:sz w:val="21"/>
          <w:szCs w:val="21"/>
        </w:rPr>
      </w:pPr>
      <w:r>
        <w:rPr>
          <w:rFonts w:cs="Century" w:hint="eastAsia"/>
          <w:sz w:val="21"/>
          <w:szCs w:val="21"/>
        </w:rPr>
        <w:t>（</w:t>
      </w:r>
      <w:r w:rsidR="001D5D51" w:rsidRPr="00062F12">
        <w:rPr>
          <w:rFonts w:cs="Century" w:hint="eastAsia"/>
          <w:sz w:val="21"/>
          <w:szCs w:val="21"/>
        </w:rPr>
        <w:t>ア</w:t>
      </w:r>
      <w:r>
        <w:rPr>
          <w:rFonts w:cs="Century" w:hint="eastAsia"/>
          <w:sz w:val="21"/>
          <w:szCs w:val="21"/>
        </w:rPr>
        <w:t>）</w:t>
      </w:r>
      <w:r w:rsidR="001D5D51" w:rsidRPr="00062F12">
        <w:rPr>
          <w:rFonts w:hint="eastAsia"/>
          <w:sz w:val="21"/>
          <w:szCs w:val="21"/>
        </w:rPr>
        <w:t>共犯者の引き込み供述や責任転嫁の供述を誘発するおそれ</w:t>
      </w:r>
    </w:p>
    <w:p w:rsidR="002B195F" w:rsidRDefault="001D5D51" w:rsidP="002B195F">
      <w:pPr>
        <w:tabs>
          <w:tab w:val="left" w:pos="0"/>
        </w:tabs>
        <w:ind w:leftChars="305" w:left="671"/>
        <w:rPr>
          <w:sz w:val="21"/>
          <w:szCs w:val="21"/>
        </w:rPr>
      </w:pPr>
      <w:r w:rsidRPr="00062F12">
        <w:rPr>
          <w:rFonts w:hint="eastAsia"/>
          <w:sz w:val="21"/>
          <w:szCs w:val="21"/>
        </w:rPr>
        <w:t xml:space="preserve">　刑事免責制度は、自らは刑事免責を受けつつ、他人の犯罪事実を明らかにするものであり、共犯者の引き込み供述や責任転嫁の供述を誘発する制度といえよう。</w:t>
      </w:r>
    </w:p>
    <w:p w:rsidR="002B195F" w:rsidRDefault="001D5D51" w:rsidP="002B195F">
      <w:pPr>
        <w:tabs>
          <w:tab w:val="left" w:pos="0"/>
        </w:tabs>
        <w:ind w:leftChars="305" w:left="671"/>
        <w:rPr>
          <w:sz w:val="21"/>
          <w:szCs w:val="21"/>
        </w:rPr>
      </w:pPr>
      <w:r w:rsidRPr="00062F12">
        <w:rPr>
          <w:rFonts w:hint="eastAsia"/>
          <w:sz w:val="21"/>
          <w:szCs w:val="21"/>
        </w:rPr>
        <w:t xml:space="preserve">　これに対し、刑事免責制度は、一方的に自己負罪拒否特権を消滅させて供述を強制するものであって、かえって、虚偽の供述をすれば偽証罪により処罰されるわけであるから、制度的には取引的要素はないとして導入されたのであるが、このような考えは、捜査や公判準備の実態を理解していない議論というべきである。</w:t>
      </w:r>
    </w:p>
    <w:p w:rsidR="002B195F" w:rsidRDefault="001D5D51" w:rsidP="002B195F">
      <w:pPr>
        <w:tabs>
          <w:tab w:val="left" w:pos="0"/>
        </w:tabs>
        <w:ind w:leftChars="305" w:left="671"/>
        <w:rPr>
          <w:sz w:val="21"/>
          <w:szCs w:val="21"/>
        </w:rPr>
      </w:pPr>
      <w:r w:rsidRPr="00062F12">
        <w:rPr>
          <w:rFonts w:hint="eastAsia"/>
          <w:sz w:val="21"/>
          <w:szCs w:val="21"/>
        </w:rPr>
        <w:t xml:space="preserve">　刑事免責の対象となる者は、他人の犯罪についての情報を有しており、しかも、自己負罪拒否特権の行使を検討する必要がある者(すなわち、刑事訴追を受け、又は有罪判決を受けるおそれがある者)であることから、通常、被疑者または参考人として、実際に捜査官からの取調べを受けている者と思われる。すなわち、引き込み供述や責任転嫁の供述という虚偽供述の動機を持っている者である。</w:t>
      </w:r>
    </w:p>
    <w:p w:rsidR="002B195F" w:rsidRDefault="001D5D51" w:rsidP="002B195F">
      <w:pPr>
        <w:tabs>
          <w:tab w:val="left" w:pos="0"/>
        </w:tabs>
        <w:ind w:leftChars="305" w:left="671"/>
        <w:rPr>
          <w:sz w:val="21"/>
          <w:szCs w:val="21"/>
        </w:rPr>
      </w:pPr>
      <w:r w:rsidRPr="00062F12">
        <w:rPr>
          <w:rFonts w:hint="eastAsia"/>
          <w:sz w:val="21"/>
          <w:szCs w:val="21"/>
        </w:rPr>
        <w:t xml:space="preserve">　実際の刑事免責制度の運用は、取調べの際や証人テストの際に、検察官から刑事免責制度の説明を受け、さらに、この制度を使って証人尋問を行うことを告げられるという形が一般的と思われる。</w:t>
      </w:r>
    </w:p>
    <w:p w:rsidR="001D5D51" w:rsidRPr="00062F12" w:rsidRDefault="001D5D51" w:rsidP="002B195F">
      <w:pPr>
        <w:tabs>
          <w:tab w:val="left" w:pos="0"/>
        </w:tabs>
        <w:ind w:leftChars="305" w:left="671"/>
        <w:rPr>
          <w:rFonts w:hAnsi="Times New Roman"/>
          <w:spacing w:val="6"/>
          <w:sz w:val="21"/>
          <w:szCs w:val="21"/>
        </w:rPr>
      </w:pPr>
      <w:r w:rsidRPr="00062F12">
        <w:rPr>
          <w:rFonts w:hint="eastAsia"/>
          <w:sz w:val="21"/>
          <w:szCs w:val="21"/>
        </w:rPr>
        <w:t xml:space="preserve">　したがって、刑事免責制度を利用してもらうために、検察官に迎合して、検察官が求める内容の虚偽供述を行う危険性が高いと考えられる。</w:t>
      </w:r>
    </w:p>
    <w:p w:rsidR="001D5D51" w:rsidRPr="00062F12" w:rsidRDefault="002B195F" w:rsidP="002B195F">
      <w:pPr>
        <w:tabs>
          <w:tab w:val="left" w:pos="0"/>
        </w:tabs>
        <w:ind w:left="-2" w:firstLineChars="105" w:firstLine="220"/>
        <w:rPr>
          <w:rFonts w:hAnsi="Times New Roman"/>
          <w:spacing w:val="6"/>
          <w:sz w:val="21"/>
          <w:szCs w:val="21"/>
        </w:rPr>
      </w:pPr>
      <w:r>
        <w:rPr>
          <w:rFonts w:hint="eastAsia"/>
          <w:sz w:val="21"/>
          <w:szCs w:val="21"/>
        </w:rPr>
        <w:t>（</w:t>
      </w:r>
      <w:r w:rsidR="001D5D51" w:rsidRPr="00062F12">
        <w:rPr>
          <w:rFonts w:hint="eastAsia"/>
          <w:sz w:val="21"/>
          <w:szCs w:val="21"/>
        </w:rPr>
        <w:t>イ</w:t>
      </w:r>
      <w:r>
        <w:rPr>
          <w:rFonts w:hint="eastAsia"/>
          <w:sz w:val="21"/>
          <w:szCs w:val="21"/>
        </w:rPr>
        <w:t>）</w:t>
      </w:r>
      <w:r w:rsidR="001D5D51" w:rsidRPr="00062F12">
        <w:rPr>
          <w:rFonts w:hint="eastAsia"/>
          <w:sz w:val="21"/>
          <w:szCs w:val="21"/>
        </w:rPr>
        <w:t>免責の範囲の明確化の必要性</w:t>
      </w:r>
    </w:p>
    <w:p w:rsidR="002B195F" w:rsidRDefault="001D5D51" w:rsidP="002B195F">
      <w:pPr>
        <w:tabs>
          <w:tab w:val="left" w:pos="0"/>
        </w:tabs>
        <w:ind w:leftChars="5" w:left="641" w:hangingChars="300" w:hanging="630"/>
        <w:rPr>
          <w:sz w:val="21"/>
          <w:szCs w:val="21"/>
        </w:rPr>
      </w:pPr>
      <w:r w:rsidRPr="00062F12">
        <w:rPr>
          <w:rFonts w:hint="eastAsia"/>
          <w:sz w:val="21"/>
          <w:szCs w:val="21"/>
        </w:rPr>
        <w:t xml:space="preserve">　</w:t>
      </w:r>
      <w:r w:rsidR="002B195F">
        <w:rPr>
          <w:rFonts w:hint="eastAsia"/>
          <w:sz w:val="21"/>
          <w:szCs w:val="21"/>
        </w:rPr>
        <w:t xml:space="preserve">　　　</w:t>
      </w:r>
      <w:r w:rsidRPr="00062F12">
        <w:rPr>
          <w:rFonts w:hint="eastAsia"/>
          <w:sz w:val="21"/>
          <w:szCs w:val="21"/>
        </w:rPr>
        <w:t>刑事免責制度は、自己負罪拒否特権が消滅させられて、証人として証言が強制されることの引き替えとして、証言及び派生証拠は、証人の刑事事件において証人に不利益な証拠とすることができないという制度なのであるから、この制度によって証言を強制された者は、「自己負罪拒否特権を消滅させても、何の不利益も蒙らない」ということが前提となっていなければならない。</w:t>
      </w:r>
    </w:p>
    <w:p w:rsidR="001D5D51" w:rsidRPr="00062F12" w:rsidRDefault="001D5D51" w:rsidP="002B195F">
      <w:pPr>
        <w:tabs>
          <w:tab w:val="left" w:pos="0"/>
        </w:tabs>
        <w:ind w:leftChars="305" w:left="671"/>
        <w:rPr>
          <w:sz w:val="21"/>
          <w:szCs w:val="21"/>
        </w:rPr>
      </w:pPr>
      <w:r w:rsidRPr="00062F12">
        <w:rPr>
          <w:rFonts w:hint="eastAsia"/>
          <w:sz w:val="21"/>
          <w:szCs w:val="21"/>
        </w:rPr>
        <w:t xml:space="preserve">　この点について、「尋問に応じてした供述及びこれに基づいて得られた証拠」と規定されているが、「証言に基づいて得られた証拠」の範囲が、必ずしも明確とは言い難いと思われる。</w:t>
      </w:r>
    </w:p>
    <w:p w:rsidR="002B195F" w:rsidRDefault="002B195F" w:rsidP="002B195F">
      <w:pPr>
        <w:tabs>
          <w:tab w:val="left" w:pos="0"/>
        </w:tabs>
        <w:ind w:left="-2" w:firstLineChars="5" w:firstLine="10"/>
        <w:rPr>
          <w:rFonts w:ascii="ＭＳ ゴシック" w:eastAsia="ＭＳ ゴシック" w:hAnsi="ＭＳ ゴシック"/>
          <w:bCs/>
          <w:sz w:val="21"/>
          <w:szCs w:val="21"/>
        </w:rPr>
      </w:pPr>
    </w:p>
    <w:p w:rsidR="001D5D51" w:rsidRPr="002B195F" w:rsidRDefault="002B195F" w:rsidP="002B195F">
      <w:pPr>
        <w:tabs>
          <w:tab w:val="left" w:pos="0"/>
        </w:tabs>
        <w:ind w:left="-2" w:firstLineChars="5" w:firstLine="10"/>
        <w:rPr>
          <w:rFonts w:ascii="ＭＳ ゴシック" w:eastAsia="ＭＳ ゴシック" w:hAnsi="ＭＳ ゴシック"/>
          <w:spacing w:val="6"/>
          <w:sz w:val="21"/>
          <w:szCs w:val="21"/>
        </w:rPr>
      </w:pPr>
      <w:r w:rsidRPr="002B195F">
        <w:rPr>
          <w:rFonts w:ascii="ＭＳ ゴシック" w:eastAsia="ＭＳ ゴシック" w:hAnsi="ＭＳ ゴシック" w:hint="eastAsia"/>
          <w:bCs/>
          <w:sz w:val="21"/>
          <w:szCs w:val="21"/>
        </w:rPr>
        <w:t>（</w:t>
      </w:r>
      <w:r w:rsidR="001D5D51" w:rsidRPr="002B195F">
        <w:rPr>
          <w:rFonts w:ascii="ＭＳ ゴシック" w:eastAsia="ＭＳ ゴシック" w:hAnsi="ＭＳ ゴシック" w:hint="eastAsia"/>
          <w:bCs/>
          <w:sz w:val="21"/>
          <w:szCs w:val="21"/>
        </w:rPr>
        <w:t>５</w:t>
      </w:r>
      <w:r w:rsidRPr="002B195F">
        <w:rPr>
          <w:rFonts w:ascii="ＭＳ ゴシック" w:eastAsia="ＭＳ ゴシック" w:hAnsi="ＭＳ ゴシック" w:hint="eastAsia"/>
          <w:bCs/>
          <w:sz w:val="21"/>
          <w:szCs w:val="21"/>
        </w:rPr>
        <w:t>）</w:t>
      </w:r>
      <w:r w:rsidR="001D5D51" w:rsidRPr="002B195F">
        <w:rPr>
          <w:rFonts w:ascii="ＭＳ ゴシック" w:eastAsia="ＭＳ ゴシック" w:hAnsi="ＭＳ ゴシック" w:hint="eastAsia"/>
          <w:bCs/>
          <w:sz w:val="21"/>
          <w:szCs w:val="21"/>
        </w:rPr>
        <w:t>証拠開示制度等の拡充</w:t>
      </w:r>
    </w:p>
    <w:p w:rsidR="002B195F" w:rsidRDefault="001D5D51" w:rsidP="002B195F">
      <w:pPr>
        <w:tabs>
          <w:tab w:val="left" w:pos="0"/>
        </w:tabs>
        <w:ind w:leftChars="5" w:left="433" w:hangingChars="200" w:hanging="422"/>
        <w:rPr>
          <w:sz w:val="21"/>
          <w:szCs w:val="21"/>
        </w:rPr>
      </w:pPr>
      <w:r w:rsidRPr="00062F12">
        <w:rPr>
          <w:rFonts w:hint="eastAsia"/>
          <w:b/>
          <w:bCs/>
          <w:sz w:val="21"/>
          <w:szCs w:val="21"/>
        </w:rPr>
        <w:t xml:space="preserve">　</w:t>
      </w:r>
      <w:r w:rsidR="002B195F">
        <w:rPr>
          <w:rFonts w:hint="eastAsia"/>
          <w:b/>
          <w:bCs/>
          <w:sz w:val="21"/>
          <w:szCs w:val="21"/>
        </w:rPr>
        <w:t xml:space="preserve">　　</w:t>
      </w:r>
      <w:r w:rsidRPr="00062F12">
        <w:rPr>
          <w:rFonts w:hint="eastAsia"/>
          <w:sz w:val="21"/>
          <w:szCs w:val="21"/>
        </w:rPr>
        <w:t>刑訴法等の改正法により、公判前整理手続等に付することの請求権が付与され、また、証拠開示制度が拡充された。これらの改正は、法律公布</w:t>
      </w:r>
      <w:r w:rsidRPr="00062F12">
        <w:rPr>
          <w:rFonts w:hAnsi="ＭＳ 明朝" w:hint="eastAsia"/>
          <w:sz w:val="21"/>
          <w:szCs w:val="21"/>
        </w:rPr>
        <w:t>の日から</w:t>
      </w:r>
      <w:r w:rsidRPr="00062F12">
        <w:rPr>
          <w:rFonts w:hAnsi="ＭＳ 明朝" w:cs="Century"/>
          <w:sz w:val="21"/>
          <w:szCs w:val="21"/>
        </w:rPr>
        <w:t>6</w:t>
      </w:r>
      <w:r w:rsidRPr="00062F12">
        <w:rPr>
          <w:rFonts w:hAnsi="ＭＳ 明朝" w:hint="eastAsia"/>
          <w:sz w:val="21"/>
          <w:szCs w:val="21"/>
        </w:rPr>
        <w:t>ヶ月以内で政</w:t>
      </w:r>
      <w:r w:rsidRPr="008550B2">
        <w:rPr>
          <w:rFonts w:hAnsi="ＭＳ 明朝" w:hint="eastAsia"/>
          <w:sz w:val="21"/>
          <w:szCs w:val="21"/>
        </w:rPr>
        <w:t>令で定める日から施行するとされており、</w:t>
      </w:r>
      <w:r w:rsidRPr="00062F12">
        <w:rPr>
          <w:rFonts w:hAnsi="ＭＳ 明朝" w:cs="Century"/>
          <w:sz w:val="21"/>
          <w:szCs w:val="21"/>
        </w:rPr>
        <w:t>2016</w:t>
      </w:r>
      <w:r w:rsidRPr="00062F12">
        <w:rPr>
          <w:rFonts w:hAnsi="ＭＳ 明朝" w:hint="eastAsia"/>
          <w:sz w:val="21"/>
          <w:szCs w:val="21"/>
        </w:rPr>
        <w:t>(平成</w:t>
      </w:r>
      <w:r w:rsidRPr="00062F12">
        <w:rPr>
          <w:rFonts w:hAnsi="ＭＳ 明朝" w:cs="Century"/>
          <w:sz w:val="21"/>
          <w:szCs w:val="21"/>
        </w:rPr>
        <w:t>28</w:t>
      </w:r>
      <w:r w:rsidRPr="00062F12">
        <w:rPr>
          <w:rFonts w:hAnsi="ＭＳ 明朝" w:hint="eastAsia"/>
          <w:sz w:val="21"/>
          <w:szCs w:val="21"/>
        </w:rPr>
        <w:t>)年</w:t>
      </w:r>
      <w:r w:rsidRPr="00062F12">
        <w:rPr>
          <w:rFonts w:hAnsi="ＭＳ 明朝" w:cs="Century"/>
          <w:sz w:val="21"/>
          <w:szCs w:val="21"/>
        </w:rPr>
        <w:t>12</w:t>
      </w:r>
      <w:r w:rsidRPr="00062F12">
        <w:rPr>
          <w:rFonts w:hAnsi="ＭＳ 明朝" w:hint="eastAsia"/>
          <w:sz w:val="21"/>
          <w:szCs w:val="21"/>
        </w:rPr>
        <w:t>月に施行</w:t>
      </w:r>
      <w:r w:rsidRPr="00062F12">
        <w:rPr>
          <w:rFonts w:hint="eastAsia"/>
          <w:sz w:val="21"/>
          <w:szCs w:val="21"/>
        </w:rPr>
        <w:t>された。</w:t>
      </w:r>
    </w:p>
    <w:p w:rsidR="002B195F" w:rsidRDefault="001D5D51" w:rsidP="002B195F">
      <w:pPr>
        <w:tabs>
          <w:tab w:val="left" w:pos="0"/>
        </w:tabs>
        <w:ind w:leftChars="205" w:left="451"/>
        <w:rPr>
          <w:sz w:val="21"/>
          <w:szCs w:val="21"/>
        </w:rPr>
      </w:pPr>
      <w:r w:rsidRPr="00062F12">
        <w:rPr>
          <w:rFonts w:hint="eastAsia"/>
          <w:sz w:val="21"/>
          <w:szCs w:val="21"/>
        </w:rPr>
        <w:t xml:space="preserve">　従来は、公判前整理手続及び期日間整理手続に付するか否かは、裁判所が職権で判断するものとされていたが、検察官、被告人及び弁護人に、公判前整理手続等に付す</w:t>
      </w:r>
      <w:r w:rsidRPr="00062F12">
        <w:rPr>
          <w:rFonts w:hint="eastAsia"/>
          <w:sz w:val="21"/>
          <w:szCs w:val="21"/>
        </w:rPr>
        <w:lastRenderedPageBreak/>
        <w:t>ることの請求権が認められた。</w:t>
      </w:r>
    </w:p>
    <w:p w:rsidR="002B195F" w:rsidRDefault="001D5D51" w:rsidP="002B195F">
      <w:pPr>
        <w:tabs>
          <w:tab w:val="left" w:pos="0"/>
        </w:tabs>
        <w:ind w:leftChars="205" w:left="451"/>
        <w:rPr>
          <w:sz w:val="21"/>
          <w:szCs w:val="21"/>
        </w:rPr>
      </w:pPr>
      <w:r w:rsidRPr="00062F12">
        <w:rPr>
          <w:rFonts w:hint="eastAsia"/>
          <w:sz w:val="21"/>
          <w:szCs w:val="21"/>
        </w:rPr>
        <w:t xml:space="preserve">　もっとも、公判前整理手続等に付する決定又は請求を却下する決定に対する不服申立権までは認められなかった。</w:t>
      </w:r>
    </w:p>
    <w:p w:rsidR="002B195F" w:rsidRDefault="001D5D51" w:rsidP="002B195F">
      <w:pPr>
        <w:tabs>
          <w:tab w:val="left" w:pos="0"/>
        </w:tabs>
        <w:ind w:leftChars="205" w:left="451"/>
        <w:rPr>
          <w:sz w:val="21"/>
          <w:szCs w:val="21"/>
        </w:rPr>
      </w:pPr>
      <w:r w:rsidRPr="00062F12">
        <w:rPr>
          <w:rFonts w:hint="eastAsia"/>
          <w:sz w:val="21"/>
          <w:szCs w:val="21"/>
        </w:rPr>
        <w:t xml:space="preserve">　証拠開示制度の拡充として、被告人及び弁護人から請求があったときは、検察官は、検察官が保管する証拠の一覧表の交付が義務づけられた。検察官保管証拠の一覧表の交付を受けることにより、弁護人は、証拠開示請求の手掛かりを与えられることになり、検察官による証拠開示の漏れの発生を防ぐことができる。</w:t>
      </w:r>
    </w:p>
    <w:p w:rsidR="002B195F" w:rsidRDefault="001D5D51" w:rsidP="002B195F">
      <w:pPr>
        <w:tabs>
          <w:tab w:val="left" w:pos="0"/>
        </w:tabs>
        <w:ind w:leftChars="205" w:left="451"/>
        <w:rPr>
          <w:sz w:val="21"/>
          <w:szCs w:val="21"/>
        </w:rPr>
      </w:pPr>
      <w:r w:rsidRPr="00062F12">
        <w:rPr>
          <w:rFonts w:cs="Century" w:hint="eastAsia"/>
          <w:sz w:val="21"/>
          <w:szCs w:val="21"/>
        </w:rPr>
        <w:t xml:space="preserve">　</w:t>
      </w:r>
      <w:r w:rsidRPr="00062F12">
        <w:rPr>
          <w:rFonts w:hint="eastAsia"/>
          <w:sz w:val="21"/>
          <w:szCs w:val="21"/>
        </w:rPr>
        <w:t>しかし、一覧表に記載されるのは検察官が保管する証拠に限られ、全ての証拠ではない。また、一覧表に記載することにより「人の身体に害を加える行為がなされるおそれがある等の事項に限り」一覧表に記載しないことができるとされている。</w:t>
      </w:r>
    </w:p>
    <w:p w:rsidR="001D5D51" w:rsidRPr="00062F12" w:rsidRDefault="001D5D51" w:rsidP="002B195F">
      <w:pPr>
        <w:tabs>
          <w:tab w:val="left" w:pos="0"/>
        </w:tabs>
        <w:ind w:leftChars="205" w:left="451"/>
        <w:rPr>
          <w:sz w:val="21"/>
          <w:szCs w:val="21"/>
        </w:rPr>
      </w:pPr>
      <w:r w:rsidRPr="00062F12">
        <w:rPr>
          <w:rFonts w:hint="eastAsia"/>
          <w:sz w:val="21"/>
          <w:szCs w:val="21"/>
        </w:rPr>
        <w:t xml:space="preserve">　また、証拠開示制度の拡充として、類型証拠開示の対象が拡大された。証拠物の押収手続記録書面と被告人の共犯者の取調べ状況記録書面が、類型証拠とされた。</w:t>
      </w:r>
    </w:p>
    <w:p w:rsidR="002B195F" w:rsidRDefault="002B195F" w:rsidP="002B195F">
      <w:pPr>
        <w:tabs>
          <w:tab w:val="left" w:pos="0"/>
        </w:tabs>
        <w:ind w:left="-2" w:firstLineChars="5" w:firstLine="10"/>
        <w:rPr>
          <w:rFonts w:ascii="ＭＳ ゴシック" w:eastAsia="ＭＳ ゴシック" w:hAnsi="ＭＳ ゴシック"/>
          <w:bCs/>
          <w:sz w:val="21"/>
          <w:szCs w:val="21"/>
        </w:rPr>
      </w:pPr>
    </w:p>
    <w:p w:rsidR="001D5D51" w:rsidRPr="002B195F" w:rsidRDefault="002B195F" w:rsidP="002B195F">
      <w:pPr>
        <w:tabs>
          <w:tab w:val="left" w:pos="0"/>
        </w:tabs>
        <w:ind w:left="-2" w:firstLineChars="5" w:firstLine="10"/>
        <w:rPr>
          <w:rFonts w:ascii="ＭＳ ゴシック" w:eastAsia="ＭＳ ゴシック" w:hAnsi="ＭＳ ゴシック"/>
          <w:spacing w:val="6"/>
          <w:sz w:val="21"/>
          <w:szCs w:val="21"/>
        </w:rPr>
      </w:pPr>
      <w:r w:rsidRPr="002B195F">
        <w:rPr>
          <w:rFonts w:ascii="ＭＳ ゴシック" w:eastAsia="ＭＳ ゴシック" w:hAnsi="ＭＳ ゴシック" w:hint="eastAsia"/>
          <w:bCs/>
          <w:sz w:val="21"/>
          <w:szCs w:val="21"/>
        </w:rPr>
        <w:t>（</w:t>
      </w:r>
      <w:r w:rsidR="001D5D51" w:rsidRPr="002B195F">
        <w:rPr>
          <w:rFonts w:ascii="ＭＳ ゴシック" w:eastAsia="ＭＳ ゴシック" w:hAnsi="ＭＳ ゴシック" w:hint="eastAsia"/>
          <w:bCs/>
          <w:sz w:val="21"/>
          <w:szCs w:val="21"/>
        </w:rPr>
        <w:t>６</w:t>
      </w:r>
      <w:r w:rsidRPr="002B195F">
        <w:rPr>
          <w:rFonts w:ascii="ＭＳ ゴシック" w:eastAsia="ＭＳ ゴシック" w:hAnsi="ＭＳ ゴシック" w:hint="eastAsia"/>
          <w:bCs/>
          <w:sz w:val="21"/>
          <w:szCs w:val="21"/>
        </w:rPr>
        <w:t>）</w:t>
      </w:r>
      <w:r w:rsidR="001D5D51" w:rsidRPr="002B195F">
        <w:rPr>
          <w:rFonts w:ascii="ＭＳ ゴシック" w:eastAsia="ＭＳ ゴシック" w:hAnsi="ＭＳ ゴシック" w:hint="eastAsia"/>
          <w:bCs/>
          <w:sz w:val="21"/>
          <w:szCs w:val="21"/>
        </w:rPr>
        <w:t>刑の一部執行猶予制度</w:t>
      </w:r>
    </w:p>
    <w:p w:rsidR="002B195F" w:rsidRDefault="001D5D51" w:rsidP="002B195F">
      <w:pPr>
        <w:tabs>
          <w:tab w:val="left" w:pos="0"/>
        </w:tabs>
        <w:ind w:leftChars="5" w:left="431" w:hangingChars="200" w:hanging="420"/>
        <w:rPr>
          <w:sz w:val="21"/>
          <w:szCs w:val="21"/>
        </w:rPr>
      </w:pPr>
      <w:r w:rsidRPr="00062F12">
        <w:rPr>
          <w:rFonts w:hint="eastAsia"/>
          <w:sz w:val="21"/>
          <w:szCs w:val="21"/>
        </w:rPr>
        <w:t xml:space="preserve">　</w:t>
      </w:r>
      <w:r w:rsidR="002B195F">
        <w:rPr>
          <w:rFonts w:hint="eastAsia"/>
          <w:sz w:val="21"/>
          <w:szCs w:val="21"/>
        </w:rPr>
        <w:t xml:space="preserve">　　</w:t>
      </w:r>
      <w:r w:rsidRPr="00062F12">
        <w:rPr>
          <w:rFonts w:hint="eastAsia"/>
          <w:sz w:val="21"/>
          <w:szCs w:val="21"/>
        </w:rPr>
        <w:t>刑の一部執行猶予制度は、懲役刑や禁錮刑を一定期間受刑させたのち、残りの刑期の執行を猶予する制度である。</w:t>
      </w:r>
    </w:p>
    <w:p w:rsidR="002B195F" w:rsidRDefault="001D5D51" w:rsidP="002B195F">
      <w:pPr>
        <w:tabs>
          <w:tab w:val="left" w:pos="0"/>
        </w:tabs>
        <w:ind w:leftChars="205" w:left="451"/>
        <w:rPr>
          <w:sz w:val="21"/>
          <w:szCs w:val="21"/>
        </w:rPr>
      </w:pPr>
      <w:r w:rsidRPr="00062F12">
        <w:rPr>
          <w:rFonts w:hint="eastAsia"/>
          <w:sz w:val="21"/>
          <w:szCs w:val="21"/>
        </w:rPr>
        <w:t xml:space="preserve">　改正前の制度では、懲役刑等の場合、刑期全部について、実刑か執行猶予かの選択肢しかなく、短期の実刑を言い渡されると、十分な仮釈放期間を取ることができず、再犯防止・改善更生の教育や指導を行うことが困難であったが、刑の一部執行猶予制度の導入により、一定期間矯正施設内で処遇した後、相応の期間を執行猶予として保護観察に付して社会内処遇を実施することができ、受刑者の社会復帰の促進や保護観察による再犯防止を図ることができるとされる。特に薬物事犯の再犯防止について効果が期待されている。</w:t>
      </w:r>
    </w:p>
    <w:p w:rsidR="002B195F" w:rsidRDefault="001D5D51" w:rsidP="002B195F">
      <w:pPr>
        <w:tabs>
          <w:tab w:val="left" w:pos="0"/>
        </w:tabs>
        <w:ind w:leftChars="205" w:left="451"/>
        <w:rPr>
          <w:sz w:val="21"/>
          <w:szCs w:val="21"/>
        </w:rPr>
      </w:pPr>
      <w:r w:rsidRPr="00062F12">
        <w:rPr>
          <w:rFonts w:hint="eastAsia"/>
          <w:sz w:val="21"/>
          <w:szCs w:val="21"/>
        </w:rPr>
        <w:t xml:space="preserve">　①前に禁錮以上の実刑に処せられたことがない者、②前に禁錮以上の刑に処せられたことがあっても</w:t>
      </w:r>
      <w:r w:rsidRPr="00062F12">
        <w:rPr>
          <w:rFonts w:hAnsi="ＭＳ 明朝" w:hint="eastAsia"/>
          <w:sz w:val="21"/>
          <w:szCs w:val="21"/>
        </w:rPr>
        <w:t>、その執行終了等の日から</w:t>
      </w:r>
      <w:r w:rsidRPr="00062F12">
        <w:rPr>
          <w:rFonts w:hAnsi="ＭＳ 明朝" w:cs="Century"/>
          <w:sz w:val="21"/>
          <w:szCs w:val="21"/>
        </w:rPr>
        <w:t>5</w:t>
      </w:r>
      <w:r w:rsidRPr="00062F12">
        <w:rPr>
          <w:rFonts w:hAnsi="ＭＳ 明朝" w:hint="eastAsia"/>
          <w:sz w:val="21"/>
          <w:szCs w:val="21"/>
        </w:rPr>
        <w:t>年以内に禁錮以上の刑に処せられたことがない者につき、</w:t>
      </w:r>
      <w:r w:rsidRPr="00062F12">
        <w:rPr>
          <w:rFonts w:hAnsi="ＭＳ 明朝" w:cs="Century"/>
          <w:sz w:val="21"/>
          <w:szCs w:val="21"/>
        </w:rPr>
        <w:t>3</w:t>
      </w:r>
      <w:r w:rsidRPr="00062F12">
        <w:rPr>
          <w:rFonts w:hAnsi="ＭＳ 明朝" w:hint="eastAsia"/>
          <w:sz w:val="21"/>
          <w:szCs w:val="21"/>
        </w:rPr>
        <w:t>年</w:t>
      </w:r>
      <w:r w:rsidRPr="00062F12">
        <w:rPr>
          <w:rFonts w:hint="eastAsia"/>
          <w:sz w:val="21"/>
          <w:szCs w:val="21"/>
        </w:rPr>
        <w:t>以下の懲役等の言渡しを受けた場合に、犯罪の経緯に関する事情などを考慮して再犯防止のために必要かつ相当と認められるとき、刑の一部につい</w:t>
      </w:r>
      <w:r w:rsidRPr="00062F12">
        <w:rPr>
          <w:rFonts w:hAnsi="ＭＳ 明朝" w:hint="eastAsia"/>
          <w:sz w:val="21"/>
          <w:szCs w:val="21"/>
        </w:rPr>
        <w:t>て</w:t>
      </w:r>
      <w:r w:rsidRPr="00062F12">
        <w:rPr>
          <w:rFonts w:hAnsi="ＭＳ 明朝" w:cs="Century"/>
          <w:sz w:val="21"/>
          <w:szCs w:val="21"/>
        </w:rPr>
        <w:t>1</w:t>
      </w:r>
      <w:r w:rsidRPr="00062F12">
        <w:rPr>
          <w:rFonts w:hAnsi="ＭＳ 明朝" w:hint="eastAsia"/>
          <w:sz w:val="21"/>
          <w:szCs w:val="21"/>
        </w:rPr>
        <w:t>年</w:t>
      </w:r>
      <w:r w:rsidRPr="00062F12">
        <w:rPr>
          <w:rFonts w:hint="eastAsia"/>
          <w:sz w:val="21"/>
          <w:szCs w:val="21"/>
        </w:rPr>
        <w:t>以上</w:t>
      </w:r>
      <w:r w:rsidRPr="00062F12">
        <w:rPr>
          <w:rFonts w:hAnsi="ＭＳ 明朝" w:cs="Century"/>
          <w:sz w:val="21"/>
          <w:szCs w:val="21"/>
        </w:rPr>
        <w:t>5</w:t>
      </w:r>
      <w:r w:rsidRPr="00062F12">
        <w:rPr>
          <w:rFonts w:hint="eastAsia"/>
          <w:sz w:val="21"/>
          <w:szCs w:val="21"/>
        </w:rPr>
        <w:t>年以内の期間で執行を猶予することができる。執行猶予期間中、保護観察に付することができ、薬物事犯の場合には必要的に保護観察に付さねばならない。</w:t>
      </w:r>
    </w:p>
    <w:p w:rsidR="001D5D51" w:rsidRPr="00062F12" w:rsidRDefault="001D5D51" w:rsidP="002B195F">
      <w:pPr>
        <w:tabs>
          <w:tab w:val="left" w:pos="0"/>
        </w:tabs>
        <w:ind w:leftChars="205" w:left="451"/>
        <w:rPr>
          <w:sz w:val="21"/>
          <w:szCs w:val="21"/>
        </w:rPr>
      </w:pPr>
      <w:r w:rsidRPr="00062F12">
        <w:rPr>
          <w:rFonts w:cs="Century" w:hint="eastAsia"/>
          <w:sz w:val="21"/>
          <w:szCs w:val="21"/>
        </w:rPr>
        <w:t xml:space="preserve">　</w:t>
      </w:r>
      <w:r w:rsidRPr="00062F12">
        <w:rPr>
          <w:rFonts w:hint="eastAsia"/>
          <w:sz w:val="21"/>
          <w:szCs w:val="21"/>
        </w:rPr>
        <w:t>この制度が適切に運用されるためには、保護観察官の増員や更生保護施設の拡充などの更生に必要な環境の整備や、適切な更生プログラムの策定などが必要となるが、現時点において、これらの点の整備などが十分とは言い難い状況にある。</w:t>
      </w:r>
    </w:p>
    <w:p w:rsidR="002B195F" w:rsidRDefault="002B195F" w:rsidP="002B195F">
      <w:pPr>
        <w:tabs>
          <w:tab w:val="left" w:pos="0"/>
        </w:tabs>
        <w:ind w:left="-2" w:firstLineChars="5" w:firstLine="10"/>
        <w:rPr>
          <w:rFonts w:ascii="ＭＳ ゴシック" w:eastAsia="ＭＳ ゴシック" w:hAnsi="ＭＳ ゴシック"/>
          <w:bCs/>
          <w:sz w:val="21"/>
          <w:szCs w:val="21"/>
        </w:rPr>
      </w:pPr>
    </w:p>
    <w:p w:rsidR="001D5D51" w:rsidRPr="002B195F" w:rsidRDefault="002B195F" w:rsidP="002B195F">
      <w:pPr>
        <w:tabs>
          <w:tab w:val="left" w:pos="0"/>
        </w:tabs>
        <w:ind w:left="-2" w:firstLineChars="5" w:firstLine="10"/>
        <w:rPr>
          <w:rFonts w:ascii="ＭＳ ゴシック" w:eastAsia="ＭＳ ゴシック" w:hAnsi="ＭＳ ゴシック"/>
          <w:spacing w:val="6"/>
          <w:sz w:val="21"/>
          <w:szCs w:val="21"/>
        </w:rPr>
      </w:pPr>
      <w:r w:rsidRPr="002B195F">
        <w:rPr>
          <w:rFonts w:ascii="ＭＳ ゴシック" w:eastAsia="ＭＳ ゴシック" w:hAnsi="ＭＳ ゴシック" w:hint="eastAsia"/>
          <w:bCs/>
          <w:sz w:val="21"/>
          <w:szCs w:val="21"/>
        </w:rPr>
        <w:t>（</w:t>
      </w:r>
      <w:r w:rsidR="001D5D51" w:rsidRPr="002B195F">
        <w:rPr>
          <w:rFonts w:ascii="ＭＳ ゴシック" w:eastAsia="ＭＳ ゴシック" w:hAnsi="ＭＳ ゴシック" w:hint="eastAsia"/>
          <w:bCs/>
          <w:sz w:val="21"/>
          <w:szCs w:val="21"/>
        </w:rPr>
        <w:t>７</w:t>
      </w:r>
      <w:r w:rsidRPr="002B195F">
        <w:rPr>
          <w:rFonts w:ascii="ＭＳ ゴシック" w:eastAsia="ＭＳ ゴシック" w:hAnsi="ＭＳ ゴシック" w:hint="eastAsia"/>
          <w:bCs/>
          <w:sz w:val="21"/>
          <w:szCs w:val="21"/>
        </w:rPr>
        <w:t>）</w:t>
      </w:r>
      <w:r w:rsidR="001D5D51" w:rsidRPr="002B195F">
        <w:rPr>
          <w:rFonts w:ascii="ＭＳ ゴシック" w:eastAsia="ＭＳ ゴシック" w:hAnsi="ＭＳ ゴシック" w:hint="eastAsia"/>
          <w:bCs/>
          <w:sz w:val="21"/>
          <w:szCs w:val="21"/>
        </w:rPr>
        <w:t>今後の取り組み</w:t>
      </w:r>
    </w:p>
    <w:p w:rsidR="002B195F" w:rsidRDefault="001D5D51" w:rsidP="002B195F">
      <w:pPr>
        <w:tabs>
          <w:tab w:val="left" w:pos="0"/>
        </w:tabs>
        <w:ind w:leftChars="5" w:left="431" w:hangingChars="200" w:hanging="420"/>
        <w:rPr>
          <w:sz w:val="21"/>
          <w:szCs w:val="21"/>
        </w:rPr>
      </w:pPr>
      <w:r w:rsidRPr="00062F12">
        <w:rPr>
          <w:rFonts w:hint="eastAsia"/>
          <w:sz w:val="21"/>
          <w:szCs w:val="21"/>
        </w:rPr>
        <w:t xml:space="preserve">　</w:t>
      </w:r>
      <w:r w:rsidR="002B195F">
        <w:rPr>
          <w:rFonts w:hint="eastAsia"/>
          <w:sz w:val="21"/>
          <w:szCs w:val="21"/>
        </w:rPr>
        <w:t xml:space="preserve">　　</w:t>
      </w:r>
      <w:r w:rsidRPr="00062F12">
        <w:rPr>
          <w:rFonts w:hint="eastAsia"/>
          <w:sz w:val="21"/>
          <w:szCs w:val="21"/>
        </w:rPr>
        <w:t>取調べの録音・録画の制度は、全面可視化まで未だ道半ばの状態である。弁護人としては、捜査機関によって例外事由を広く認めるような恣意的運用がなされないよう、</w:t>
      </w:r>
      <w:r w:rsidRPr="00062F12">
        <w:rPr>
          <w:rFonts w:hint="eastAsia"/>
          <w:sz w:val="21"/>
          <w:szCs w:val="21"/>
        </w:rPr>
        <w:lastRenderedPageBreak/>
        <w:t>捜査機関に対し細心の注意を払っていかなければならない</w:t>
      </w:r>
      <w:r w:rsidRPr="00062F12">
        <w:rPr>
          <w:rFonts w:hAnsi="ＭＳ 明朝" w:hint="eastAsia"/>
          <w:sz w:val="21"/>
          <w:szCs w:val="21"/>
        </w:rPr>
        <w:t>。また、</w:t>
      </w:r>
      <w:r w:rsidRPr="00062F12">
        <w:rPr>
          <w:rFonts w:hAnsi="ＭＳ 明朝" w:cs="Century"/>
          <w:sz w:val="21"/>
          <w:szCs w:val="21"/>
        </w:rPr>
        <w:t>3</w:t>
      </w:r>
      <w:r w:rsidRPr="00062F12">
        <w:rPr>
          <w:rFonts w:hAnsi="ＭＳ 明朝" w:hint="eastAsia"/>
          <w:sz w:val="21"/>
          <w:szCs w:val="21"/>
        </w:rPr>
        <w:t>年後の見直しに向</w:t>
      </w:r>
      <w:r w:rsidRPr="00062F12">
        <w:rPr>
          <w:rFonts w:hint="eastAsia"/>
          <w:sz w:val="21"/>
          <w:szCs w:val="21"/>
        </w:rPr>
        <w:t>けて、全事件の可視化を実現できるよう、実務の現場において、対象外事件についても捜査機関に対し、積極的に可視化を要求するなどの地道な努力が必要である。</w:t>
      </w:r>
    </w:p>
    <w:p w:rsidR="002B195F" w:rsidRDefault="001D5D51" w:rsidP="002B195F">
      <w:pPr>
        <w:tabs>
          <w:tab w:val="left" w:pos="0"/>
        </w:tabs>
        <w:ind w:leftChars="205" w:left="451"/>
        <w:rPr>
          <w:sz w:val="21"/>
          <w:szCs w:val="21"/>
        </w:rPr>
      </w:pPr>
      <w:r w:rsidRPr="00062F12">
        <w:rPr>
          <w:rFonts w:hint="eastAsia"/>
          <w:sz w:val="21"/>
          <w:szCs w:val="21"/>
        </w:rPr>
        <w:t xml:space="preserve">　司法取引制度や刑事免責制度は、それ自体、共犯者の引き込み供述の危険をはらんだ制度であるので、これらの制度が誤判の原因とならないよう、関係者の供述の信用性には格別の配慮をするなど慎重な運用がなされるよう対応していく必要がある。</w:t>
      </w:r>
    </w:p>
    <w:p w:rsidR="002B195F" w:rsidRDefault="001D5D51" w:rsidP="002B195F">
      <w:pPr>
        <w:tabs>
          <w:tab w:val="left" w:pos="0"/>
        </w:tabs>
        <w:ind w:leftChars="205" w:left="451"/>
        <w:rPr>
          <w:sz w:val="21"/>
          <w:szCs w:val="21"/>
        </w:rPr>
      </w:pPr>
      <w:r w:rsidRPr="00062F12">
        <w:rPr>
          <w:rFonts w:hint="eastAsia"/>
          <w:sz w:val="21"/>
          <w:szCs w:val="21"/>
        </w:rPr>
        <w:t xml:space="preserve">　刑の一部執行猶予制度については、今後も、更生に必要な環境の整備などを求めていく必要があるうえ、裁判所において、いかなる場合に刑の一部執行猶予が言い渡されるのかにつき、その動向を慎重に検討する必要がある。</w:t>
      </w:r>
    </w:p>
    <w:p w:rsidR="001D5D51" w:rsidRPr="00062F12" w:rsidRDefault="001D5D51" w:rsidP="002B195F">
      <w:pPr>
        <w:tabs>
          <w:tab w:val="left" w:pos="0"/>
        </w:tabs>
        <w:ind w:leftChars="205" w:left="451"/>
        <w:rPr>
          <w:rFonts w:hAnsi="Times New Roman"/>
          <w:spacing w:val="6"/>
          <w:sz w:val="21"/>
          <w:szCs w:val="21"/>
        </w:rPr>
      </w:pPr>
      <w:r w:rsidRPr="00062F12">
        <w:rPr>
          <w:rFonts w:hint="eastAsia"/>
          <w:sz w:val="21"/>
          <w:szCs w:val="21"/>
        </w:rPr>
        <w:t xml:space="preserve">　法曹親和会では、平成</w:t>
      </w:r>
      <w:r w:rsidRPr="00062F12">
        <w:rPr>
          <w:rFonts w:hAnsi="ＭＳ 明朝" w:cs="Century"/>
          <w:sz w:val="21"/>
          <w:szCs w:val="21"/>
        </w:rPr>
        <w:t>28</w:t>
      </w:r>
      <w:r w:rsidRPr="00062F12">
        <w:rPr>
          <w:rFonts w:hAnsi="ＭＳ 明朝" w:hint="eastAsia"/>
          <w:sz w:val="21"/>
          <w:szCs w:val="21"/>
        </w:rPr>
        <w:t>年度</w:t>
      </w:r>
      <w:r w:rsidRPr="00062F12">
        <w:rPr>
          <w:rFonts w:hint="eastAsia"/>
          <w:sz w:val="21"/>
          <w:szCs w:val="21"/>
        </w:rPr>
        <w:t>の夏期合宿において、司法取引制度の理解を深めその問題点を明らかにすべく、被疑者から司法取引の相談を受けた場合の弁護人の対応について検討を行った。さらに、今後、司法取引及び刑事免責制度につき講師を招いて勉強会を開催する予定である。</w:t>
      </w:r>
    </w:p>
    <w:p w:rsidR="008D4937" w:rsidRDefault="001D5D51" w:rsidP="001D5D51">
      <w:r w:rsidRPr="00062F12">
        <w:rPr>
          <w:rFonts w:hint="eastAsia"/>
        </w:rPr>
        <w:t xml:space="preserve">　　　　　　　　　　　　　　　　　</w:t>
      </w:r>
    </w:p>
    <w:sectPr w:rsidR="008D493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CD" w:rsidRDefault="00050FCD" w:rsidP="00CC480C">
      <w:r>
        <w:separator/>
      </w:r>
    </w:p>
  </w:endnote>
  <w:endnote w:type="continuationSeparator" w:id="0">
    <w:p w:rsidR="00050FCD" w:rsidRDefault="00050FCD" w:rsidP="00CC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0C" w:rsidRDefault="00CC48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403410"/>
      <w:docPartObj>
        <w:docPartGallery w:val="Page Numbers (Bottom of Page)"/>
        <w:docPartUnique/>
      </w:docPartObj>
    </w:sdtPr>
    <w:sdtEndPr/>
    <w:sdtContent>
      <w:p w:rsidR="00CC480C" w:rsidRDefault="00CC480C">
        <w:pPr>
          <w:pStyle w:val="a5"/>
          <w:jc w:val="center"/>
        </w:pPr>
        <w:r>
          <w:fldChar w:fldCharType="begin"/>
        </w:r>
        <w:r>
          <w:instrText>PAGE   \* MERGEFORMAT</w:instrText>
        </w:r>
        <w:r>
          <w:fldChar w:fldCharType="separate"/>
        </w:r>
        <w:r w:rsidR="00FD2DE4" w:rsidRPr="00FD2DE4">
          <w:rPr>
            <w:noProof/>
            <w:lang w:val="ja-JP"/>
          </w:rPr>
          <w:t>1</w:t>
        </w:r>
        <w:r>
          <w:fldChar w:fldCharType="end"/>
        </w:r>
      </w:p>
    </w:sdtContent>
  </w:sdt>
  <w:p w:rsidR="00CC480C" w:rsidRDefault="00CC48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0C" w:rsidRDefault="00CC48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CD" w:rsidRDefault="00050FCD" w:rsidP="00CC480C">
      <w:r>
        <w:separator/>
      </w:r>
    </w:p>
  </w:footnote>
  <w:footnote w:type="continuationSeparator" w:id="0">
    <w:p w:rsidR="00050FCD" w:rsidRDefault="00050FCD" w:rsidP="00CC4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0C" w:rsidRDefault="00CC48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0C" w:rsidRDefault="00CC48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0C" w:rsidRDefault="00CC48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51"/>
    <w:rsid w:val="00003E15"/>
    <w:rsid w:val="00007E6B"/>
    <w:rsid w:val="000108C5"/>
    <w:rsid w:val="0001733D"/>
    <w:rsid w:val="000210AF"/>
    <w:rsid w:val="000267E6"/>
    <w:rsid w:val="00030F49"/>
    <w:rsid w:val="00031689"/>
    <w:rsid w:val="000325B0"/>
    <w:rsid w:val="00032DF5"/>
    <w:rsid w:val="00033012"/>
    <w:rsid w:val="00033DC1"/>
    <w:rsid w:val="00034569"/>
    <w:rsid w:val="00037CC0"/>
    <w:rsid w:val="0004259A"/>
    <w:rsid w:val="00042F64"/>
    <w:rsid w:val="00043AC2"/>
    <w:rsid w:val="00043BE1"/>
    <w:rsid w:val="00043F44"/>
    <w:rsid w:val="00044184"/>
    <w:rsid w:val="00044DF0"/>
    <w:rsid w:val="00050FA1"/>
    <w:rsid w:val="00050FCD"/>
    <w:rsid w:val="00051C63"/>
    <w:rsid w:val="000532B4"/>
    <w:rsid w:val="000532E4"/>
    <w:rsid w:val="00053C39"/>
    <w:rsid w:val="00054843"/>
    <w:rsid w:val="000621BB"/>
    <w:rsid w:val="00066744"/>
    <w:rsid w:val="000716AE"/>
    <w:rsid w:val="00073327"/>
    <w:rsid w:val="00081656"/>
    <w:rsid w:val="00082578"/>
    <w:rsid w:val="0008414C"/>
    <w:rsid w:val="00092F2D"/>
    <w:rsid w:val="000B4CDA"/>
    <w:rsid w:val="000B4D16"/>
    <w:rsid w:val="000B5B9C"/>
    <w:rsid w:val="000B79A5"/>
    <w:rsid w:val="000C41F1"/>
    <w:rsid w:val="000C6B87"/>
    <w:rsid w:val="000C7F60"/>
    <w:rsid w:val="000D0772"/>
    <w:rsid w:val="000D1D4E"/>
    <w:rsid w:val="000D394C"/>
    <w:rsid w:val="000D530C"/>
    <w:rsid w:val="000D7358"/>
    <w:rsid w:val="000D746D"/>
    <w:rsid w:val="000E0602"/>
    <w:rsid w:val="000E2EF3"/>
    <w:rsid w:val="000E5F8E"/>
    <w:rsid w:val="000F38D8"/>
    <w:rsid w:val="000F64B3"/>
    <w:rsid w:val="000F6BAB"/>
    <w:rsid w:val="000F7D82"/>
    <w:rsid w:val="00100C5D"/>
    <w:rsid w:val="00101330"/>
    <w:rsid w:val="0010293E"/>
    <w:rsid w:val="00103E28"/>
    <w:rsid w:val="00104DE5"/>
    <w:rsid w:val="0011119D"/>
    <w:rsid w:val="00113C01"/>
    <w:rsid w:val="001146C1"/>
    <w:rsid w:val="001161A6"/>
    <w:rsid w:val="00117F8F"/>
    <w:rsid w:val="00120BFE"/>
    <w:rsid w:val="00122400"/>
    <w:rsid w:val="00122447"/>
    <w:rsid w:val="00125755"/>
    <w:rsid w:val="001261BA"/>
    <w:rsid w:val="00130762"/>
    <w:rsid w:val="00132304"/>
    <w:rsid w:val="00132D23"/>
    <w:rsid w:val="00132D65"/>
    <w:rsid w:val="0013566E"/>
    <w:rsid w:val="00137D7D"/>
    <w:rsid w:val="00141524"/>
    <w:rsid w:val="00146C61"/>
    <w:rsid w:val="00150C97"/>
    <w:rsid w:val="001519A9"/>
    <w:rsid w:val="00152805"/>
    <w:rsid w:val="00153131"/>
    <w:rsid w:val="00154159"/>
    <w:rsid w:val="001560DB"/>
    <w:rsid w:val="00157167"/>
    <w:rsid w:val="00157502"/>
    <w:rsid w:val="001617AF"/>
    <w:rsid w:val="001636DE"/>
    <w:rsid w:val="00166606"/>
    <w:rsid w:val="00166A4B"/>
    <w:rsid w:val="00167290"/>
    <w:rsid w:val="00171682"/>
    <w:rsid w:val="00173CF6"/>
    <w:rsid w:val="00175756"/>
    <w:rsid w:val="00177F2D"/>
    <w:rsid w:val="00184563"/>
    <w:rsid w:val="0018612B"/>
    <w:rsid w:val="001871C7"/>
    <w:rsid w:val="001872FD"/>
    <w:rsid w:val="0018759C"/>
    <w:rsid w:val="00190B20"/>
    <w:rsid w:val="0019322A"/>
    <w:rsid w:val="00197468"/>
    <w:rsid w:val="001A105E"/>
    <w:rsid w:val="001A34E3"/>
    <w:rsid w:val="001A5B31"/>
    <w:rsid w:val="001A5DA7"/>
    <w:rsid w:val="001B0A1C"/>
    <w:rsid w:val="001B341F"/>
    <w:rsid w:val="001B4A3E"/>
    <w:rsid w:val="001C051A"/>
    <w:rsid w:val="001C10E2"/>
    <w:rsid w:val="001C1EB4"/>
    <w:rsid w:val="001C2076"/>
    <w:rsid w:val="001C2377"/>
    <w:rsid w:val="001C41D5"/>
    <w:rsid w:val="001C5077"/>
    <w:rsid w:val="001D03D8"/>
    <w:rsid w:val="001D0D62"/>
    <w:rsid w:val="001D5D51"/>
    <w:rsid w:val="001D6943"/>
    <w:rsid w:val="001E0C34"/>
    <w:rsid w:val="001E1FF9"/>
    <w:rsid w:val="001E436B"/>
    <w:rsid w:val="001F32AC"/>
    <w:rsid w:val="001F346B"/>
    <w:rsid w:val="001F639E"/>
    <w:rsid w:val="001F67CC"/>
    <w:rsid w:val="00202AE7"/>
    <w:rsid w:val="00203101"/>
    <w:rsid w:val="00206F99"/>
    <w:rsid w:val="0020781E"/>
    <w:rsid w:val="002104EA"/>
    <w:rsid w:val="002112ED"/>
    <w:rsid w:val="00211E23"/>
    <w:rsid w:val="002207BC"/>
    <w:rsid w:val="00221D8B"/>
    <w:rsid w:val="002264CF"/>
    <w:rsid w:val="00230E0C"/>
    <w:rsid w:val="00231831"/>
    <w:rsid w:val="002423BB"/>
    <w:rsid w:val="00244865"/>
    <w:rsid w:val="00247684"/>
    <w:rsid w:val="002476AE"/>
    <w:rsid w:val="002546B8"/>
    <w:rsid w:val="002611CB"/>
    <w:rsid w:val="002617B5"/>
    <w:rsid w:val="00265216"/>
    <w:rsid w:val="002657F0"/>
    <w:rsid w:val="00266CDA"/>
    <w:rsid w:val="00273680"/>
    <w:rsid w:val="002749B6"/>
    <w:rsid w:val="00274BBE"/>
    <w:rsid w:val="00275116"/>
    <w:rsid w:val="00275FE4"/>
    <w:rsid w:val="002761CB"/>
    <w:rsid w:val="00283E53"/>
    <w:rsid w:val="0028478A"/>
    <w:rsid w:val="0029143A"/>
    <w:rsid w:val="00292563"/>
    <w:rsid w:val="002934D1"/>
    <w:rsid w:val="0029531C"/>
    <w:rsid w:val="002961FC"/>
    <w:rsid w:val="00297442"/>
    <w:rsid w:val="002A062C"/>
    <w:rsid w:val="002A1BB0"/>
    <w:rsid w:val="002A1D98"/>
    <w:rsid w:val="002A2AD3"/>
    <w:rsid w:val="002A3416"/>
    <w:rsid w:val="002A667A"/>
    <w:rsid w:val="002A7F69"/>
    <w:rsid w:val="002B195F"/>
    <w:rsid w:val="002B7A4F"/>
    <w:rsid w:val="002C08F0"/>
    <w:rsid w:val="002C1ABE"/>
    <w:rsid w:val="002C7B98"/>
    <w:rsid w:val="002C7CC8"/>
    <w:rsid w:val="002D53CD"/>
    <w:rsid w:val="002D6970"/>
    <w:rsid w:val="002D78F8"/>
    <w:rsid w:val="002D7E31"/>
    <w:rsid w:val="002D7ED4"/>
    <w:rsid w:val="002E0008"/>
    <w:rsid w:val="002E490A"/>
    <w:rsid w:val="002E56FF"/>
    <w:rsid w:val="002E7F38"/>
    <w:rsid w:val="002F0DEC"/>
    <w:rsid w:val="002F21C0"/>
    <w:rsid w:val="002F50B0"/>
    <w:rsid w:val="002F5A39"/>
    <w:rsid w:val="002F6D75"/>
    <w:rsid w:val="0030058A"/>
    <w:rsid w:val="00310245"/>
    <w:rsid w:val="003111BA"/>
    <w:rsid w:val="003115CF"/>
    <w:rsid w:val="003152F0"/>
    <w:rsid w:val="00317FBD"/>
    <w:rsid w:val="00321F18"/>
    <w:rsid w:val="00322F6D"/>
    <w:rsid w:val="003254D9"/>
    <w:rsid w:val="00325F03"/>
    <w:rsid w:val="00326209"/>
    <w:rsid w:val="00330C3C"/>
    <w:rsid w:val="0033218D"/>
    <w:rsid w:val="003367E9"/>
    <w:rsid w:val="00336D4D"/>
    <w:rsid w:val="003457FC"/>
    <w:rsid w:val="003501F6"/>
    <w:rsid w:val="003515BD"/>
    <w:rsid w:val="003529FD"/>
    <w:rsid w:val="003562C8"/>
    <w:rsid w:val="003621A2"/>
    <w:rsid w:val="003660F7"/>
    <w:rsid w:val="00367186"/>
    <w:rsid w:val="0037049D"/>
    <w:rsid w:val="0037640B"/>
    <w:rsid w:val="003801FF"/>
    <w:rsid w:val="00383766"/>
    <w:rsid w:val="00386344"/>
    <w:rsid w:val="003922EC"/>
    <w:rsid w:val="00393732"/>
    <w:rsid w:val="003A237D"/>
    <w:rsid w:val="003A3E53"/>
    <w:rsid w:val="003A5F3A"/>
    <w:rsid w:val="003A6BE3"/>
    <w:rsid w:val="003A7E42"/>
    <w:rsid w:val="003B3A9F"/>
    <w:rsid w:val="003B3AEA"/>
    <w:rsid w:val="003B3CB5"/>
    <w:rsid w:val="003C3C26"/>
    <w:rsid w:val="003C48BE"/>
    <w:rsid w:val="003C6610"/>
    <w:rsid w:val="003C78A7"/>
    <w:rsid w:val="003D7830"/>
    <w:rsid w:val="003E099F"/>
    <w:rsid w:val="003E68ED"/>
    <w:rsid w:val="003F02A8"/>
    <w:rsid w:val="003F033F"/>
    <w:rsid w:val="003F0C15"/>
    <w:rsid w:val="003F2663"/>
    <w:rsid w:val="003F2CA5"/>
    <w:rsid w:val="003F7B5F"/>
    <w:rsid w:val="003F7C35"/>
    <w:rsid w:val="00401B37"/>
    <w:rsid w:val="004112EB"/>
    <w:rsid w:val="00413D83"/>
    <w:rsid w:val="00415012"/>
    <w:rsid w:val="00415873"/>
    <w:rsid w:val="00415A75"/>
    <w:rsid w:val="00416A08"/>
    <w:rsid w:val="004217EA"/>
    <w:rsid w:val="00422363"/>
    <w:rsid w:val="004224CD"/>
    <w:rsid w:val="0042324F"/>
    <w:rsid w:val="0042330F"/>
    <w:rsid w:val="004264AA"/>
    <w:rsid w:val="0042785B"/>
    <w:rsid w:val="004318DD"/>
    <w:rsid w:val="004336BA"/>
    <w:rsid w:val="00441C2D"/>
    <w:rsid w:val="0044386D"/>
    <w:rsid w:val="00446F17"/>
    <w:rsid w:val="00447C2A"/>
    <w:rsid w:val="00452F14"/>
    <w:rsid w:val="00455AF3"/>
    <w:rsid w:val="00456FE2"/>
    <w:rsid w:val="004606F6"/>
    <w:rsid w:val="00462534"/>
    <w:rsid w:val="0046271A"/>
    <w:rsid w:val="00463F2F"/>
    <w:rsid w:val="004644C0"/>
    <w:rsid w:val="00467131"/>
    <w:rsid w:val="00467285"/>
    <w:rsid w:val="00471291"/>
    <w:rsid w:val="00471FEE"/>
    <w:rsid w:val="0047281A"/>
    <w:rsid w:val="00472B8E"/>
    <w:rsid w:val="004732EC"/>
    <w:rsid w:val="00474E73"/>
    <w:rsid w:val="00475EF1"/>
    <w:rsid w:val="004804F0"/>
    <w:rsid w:val="00481B3C"/>
    <w:rsid w:val="0048395F"/>
    <w:rsid w:val="0048621A"/>
    <w:rsid w:val="00486727"/>
    <w:rsid w:val="004871E3"/>
    <w:rsid w:val="00495543"/>
    <w:rsid w:val="00495A9C"/>
    <w:rsid w:val="00497B7A"/>
    <w:rsid w:val="00497FCC"/>
    <w:rsid w:val="004A49F3"/>
    <w:rsid w:val="004B1A41"/>
    <w:rsid w:val="004B20AA"/>
    <w:rsid w:val="004B2470"/>
    <w:rsid w:val="004B3A2A"/>
    <w:rsid w:val="004B7976"/>
    <w:rsid w:val="004D1D11"/>
    <w:rsid w:val="004D3455"/>
    <w:rsid w:val="004D53DF"/>
    <w:rsid w:val="004E4282"/>
    <w:rsid w:val="004E4ADB"/>
    <w:rsid w:val="004E524F"/>
    <w:rsid w:val="004E59BE"/>
    <w:rsid w:val="004E660A"/>
    <w:rsid w:val="004F17BE"/>
    <w:rsid w:val="004F6C48"/>
    <w:rsid w:val="004F7139"/>
    <w:rsid w:val="00500002"/>
    <w:rsid w:val="00500718"/>
    <w:rsid w:val="005008B2"/>
    <w:rsid w:val="0050338B"/>
    <w:rsid w:val="00505BD9"/>
    <w:rsid w:val="00507639"/>
    <w:rsid w:val="005079A8"/>
    <w:rsid w:val="00510D79"/>
    <w:rsid w:val="00512579"/>
    <w:rsid w:val="005126C8"/>
    <w:rsid w:val="005207F0"/>
    <w:rsid w:val="0052132F"/>
    <w:rsid w:val="00521C80"/>
    <w:rsid w:val="00522666"/>
    <w:rsid w:val="00522EC6"/>
    <w:rsid w:val="0052352B"/>
    <w:rsid w:val="0053174D"/>
    <w:rsid w:val="00533851"/>
    <w:rsid w:val="00534AC9"/>
    <w:rsid w:val="00534CF0"/>
    <w:rsid w:val="00535AE3"/>
    <w:rsid w:val="00536605"/>
    <w:rsid w:val="00536741"/>
    <w:rsid w:val="00542ED2"/>
    <w:rsid w:val="00543970"/>
    <w:rsid w:val="0054436A"/>
    <w:rsid w:val="005457F3"/>
    <w:rsid w:val="00546C93"/>
    <w:rsid w:val="00556BF3"/>
    <w:rsid w:val="00565E65"/>
    <w:rsid w:val="00570480"/>
    <w:rsid w:val="00570503"/>
    <w:rsid w:val="00570BAB"/>
    <w:rsid w:val="00572F0C"/>
    <w:rsid w:val="005740A4"/>
    <w:rsid w:val="00575675"/>
    <w:rsid w:val="00584C5D"/>
    <w:rsid w:val="00590065"/>
    <w:rsid w:val="00594A2D"/>
    <w:rsid w:val="00594F77"/>
    <w:rsid w:val="0059625C"/>
    <w:rsid w:val="00597A2C"/>
    <w:rsid w:val="005A1CDD"/>
    <w:rsid w:val="005A2C21"/>
    <w:rsid w:val="005A6449"/>
    <w:rsid w:val="005A65A6"/>
    <w:rsid w:val="005A6859"/>
    <w:rsid w:val="005B0CB4"/>
    <w:rsid w:val="005B3D18"/>
    <w:rsid w:val="005B5529"/>
    <w:rsid w:val="005B791E"/>
    <w:rsid w:val="005C008A"/>
    <w:rsid w:val="005C200E"/>
    <w:rsid w:val="005C247C"/>
    <w:rsid w:val="005C3C56"/>
    <w:rsid w:val="005D0988"/>
    <w:rsid w:val="005D37A3"/>
    <w:rsid w:val="005D619F"/>
    <w:rsid w:val="005D6619"/>
    <w:rsid w:val="005D6F9C"/>
    <w:rsid w:val="005E0398"/>
    <w:rsid w:val="005E052A"/>
    <w:rsid w:val="005E286B"/>
    <w:rsid w:val="005E402F"/>
    <w:rsid w:val="005E5B7F"/>
    <w:rsid w:val="005F5585"/>
    <w:rsid w:val="005F5D7C"/>
    <w:rsid w:val="005F6487"/>
    <w:rsid w:val="005F67E5"/>
    <w:rsid w:val="006037EB"/>
    <w:rsid w:val="006050C5"/>
    <w:rsid w:val="00606975"/>
    <w:rsid w:val="00611747"/>
    <w:rsid w:val="00613860"/>
    <w:rsid w:val="00616358"/>
    <w:rsid w:val="00616D79"/>
    <w:rsid w:val="0061738A"/>
    <w:rsid w:val="00620FAE"/>
    <w:rsid w:val="00622552"/>
    <w:rsid w:val="006232B2"/>
    <w:rsid w:val="00624433"/>
    <w:rsid w:val="0063482A"/>
    <w:rsid w:val="00634A8C"/>
    <w:rsid w:val="0063575F"/>
    <w:rsid w:val="00636B16"/>
    <w:rsid w:val="006374EB"/>
    <w:rsid w:val="00637801"/>
    <w:rsid w:val="0064041D"/>
    <w:rsid w:val="00645826"/>
    <w:rsid w:val="006469A1"/>
    <w:rsid w:val="00647172"/>
    <w:rsid w:val="0064781A"/>
    <w:rsid w:val="00650652"/>
    <w:rsid w:val="006538EC"/>
    <w:rsid w:val="0065410A"/>
    <w:rsid w:val="00654BA2"/>
    <w:rsid w:val="00654E2F"/>
    <w:rsid w:val="0065713D"/>
    <w:rsid w:val="006643F8"/>
    <w:rsid w:val="00664D22"/>
    <w:rsid w:val="00665D0D"/>
    <w:rsid w:val="00671032"/>
    <w:rsid w:val="0067258D"/>
    <w:rsid w:val="00675DCA"/>
    <w:rsid w:val="006762B3"/>
    <w:rsid w:val="00684C60"/>
    <w:rsid w:val="006926F0"/>
    <w:rsid w:val="006A7450"/>
    <w:rsid w:val="006B0865"/>
    <w:rsid w:val="006B3013"/>
    <w:rsid w:val="006B575A"/>
    <w:rsid w:val="006C2514"/>
    <w:rsid w:val="006C29AD"/>
    <w:rsid w:val="006C4B4B"/>
    <w:rsid w:val="006D0173"/>
    <w:rsid w:val="006D1876"/>
    <w:rsid w:val="006D6E46"/>
    <w:rsid w:val="006D75F9"/>
    <w:rsid w:val="006E0467"/>
    <w:rsid w:val="006E339E"/>
    <w:rsid w:val="006E3451"/>
    <w:rsid w:val="006E3E07"/>
    <w:rsid w:val="006E58EA"/>
    <w:rsid w:val="006E5FEA"/>
    <w:rsid w:val="006F1762"/>
    <w:rsid w:val="006F3289"/>
    <w:rsid w:val="006F5065"/>
    <w:rsid w:val="00705CFB"/>
    <w:rsid w:val="00706B1D"/>
    <w:rsid w:val="007107E2"/>
    <w:rsid w:val="00710E6C"/>
    <w:rsid w:val="00716651"/>
    <w:rsid w:val="00717942"/>
    <w:rsid w:val="00720299"/>
    <w:rsid w:val="007204EA"/>
    <w:rsid w:val="0072265A"/>
    <w:rsid w:val="0072587E"/>
    <w:rsid w:val="00725FBA"/>
    <w:rsid w:val="00727356"/>
    <w:rsid w:val="0073139F"/>
    <w:rsid w:val="0073618A"/>
    <w:rsid w:val="0073646F"/>
    <w:rsid w:val="00737AE6"/>
    <w:rsid w:val="00753559"/>
    <w:rsid w:val="0075710B"/>
    <w:rsid w:val="00760F83"/>
    <w:rsid w:val="00761FF0"/>
    <w:rsid w:val="0077016C"/>
    <w:rsid w:val="0077203C"/>
    <w:rsid w:val="00775137"/>
    <w:rsid w:val="007825E9"/>
    <w:rsid w:val="0078279E"/>
    <w:rsid w:val="00782A7A"/>
    <w:rsid w:val="0078353D"/>
    <w:rsid w:val="00783FC5"/>
    <w:rsid w:val="0078523E"/>
    <w:rsid w:val="00787597"/>
    <w:rsid w:val="00790C22"/>
    <w:rsid w:val="007930FB"/>
    <w:rsid w:val="00794AA7"/>
    <w:rsid w:val="0079523D"/>
    <w:rsid w:val="00795A45"/>
    <w:rsid w:val="0079673F"/>
    <w:rsid w:val="007968F3"/>
    <w:rsid w:val="007A001F"/>
    <w:rsid w:val="007A30F7"/>
    <w:rsid w:val="007A4D62"/>
    <w:rsid w:val="007A58B7"/>
    <w:rsid w:val="007B1CB6"/>
    <w:rsid w:val="007B409B"/>
    <w:rsid w:val="007B6746"/>
    <w:rsid w:val="007C3ECC"/>
    <w:rsid w:val="007C5B37"/>
    <w:rsid w:val="007C5DD2"/>
    <w:rsid w:val="007D13DA"/>
    <w:rsid w:val="007D1C63"/>
    <w:rsid w:val="007D2279"/>
    <w:rsid w:val="007D5478"/>
    <w:rsid w:val="007D589F"/>
    <w:rsid w:val="007D636D"/>
    <w:rsid w:val="007D679E"/>
    <w:rsid w:val="007D7BE9"/>
    <w:rsid w:val="007E3269"/>
    <w:rsid w:val="007E527C"/>
    <w:rsid w:val="007E6530"/>
    <w:rsid w:val="007E6F43"/>
    <w:rsid w:val="007F09B9"/>
    <w:rsid w:val="007F0A38"/>
    <w:rsid w:val="007F406F"/>
    <w:rsid w:val="007F47BB"/>
    <w:rsid w:val="007F4CE6"/>
    <w:rsid w:val="007F6BB7"/>
    <w:rsid w:val="007F7521"/>
    <w:rsid w:val="00800221"/>
    <w:rsid w:val="00802878"/>
    <w:rsid w:val="00804388"/>
    <w:rsid w:val="00804AB3"/>
    <w:rsid w:val="008131BF"/>
    <w:rsid w:val="008133B3"/>
    <w:rsid w:val="008137C9"/>
    <w:rsid w:val="00813D13"/>
    <w:rsid w:val="00820533"/>
    <w:rsid w:val="00820AEB"/>
    <w:rsid w:val="008249FE"/>
    <w:rsid w:val="00824E7F"/>
    <w:rsid w:val="00825639"/>
    <w:rsid w:val="00826E04"/>
    <w:rsid w:val="00827342"/>
    <w:rsid w:val="00831509"/>
    <w:rsid w:val="008319A3"/>
    <w:rsid w:val="008337B2"/>
    <w:rsid w:val="00833A92"/>
    <w:rsid w:val="00833CC8"/>
    <w:rsid w:val="008352C3"/>
    <w:rsid w:val="0083674F"/>
    <w:rsid w:val="00836750"/>
    <w:rsid w:val="00836BE9"/>
    <w:rsid w:val="008371B3"/>
    <w:rsid w:val="00837527"/>
    <w:rsid w:val="00837767"/>
    <w:rsid w:val="00841CBF"/>
    <w:rsid w:val="008443A1"/>
    <w:rsid w:val="00847EEE"/>
    <w:rsid w:val="00850558"/>
    <w:rsid w:val="00850B9D"/>
    <w:rsid w:val="00854552"/>
    <w:rsid w:val="0085578E"/>
    <w:rsid w:val="00856EEE"/>
    <w:rsid w:val="00861162"/>
    <w:rsid w:val="008634FD"/>
    <w:rsid w:val="0086655E"/>
    <w:rsid w:val="00867492"/>
    <w:rsid w:val="00867544"/>
    <w:rsid w:val="00870B49"/>
    <w:rsid w:val="00876304"/>
    <w:rsid w:val="0087710A"/>
    <w:rsid w:val="00883CDE"/>
    <w:rsid w:val="00885F1F"/>
    <w:rsid w:val="00887CFC"/>
    <w:rsid w:val="00893320"/>
    <w:rsid w:val="008947EE"/>
    <w:rsid w:val="0089569C"/>
    <w:rsid w:val="00895B89"/>
    <w:rsid w:val="00897DEF"/>
    <w:rsid w:val="008A115E"/>
    <w:rsid w:val="008A3BD1"/>
    <w:rsid w:val="008A5CD3"/>
    <w:rsid w:val="008A68D2"/>
    <w:rsid w:val="008B2F07"/>
    <w:rsid w:val="008B382D"/>
    <w:rsid w:val="008B3891"/>
    <w:rsid w:val="008B4DA8"/>
    <w:rsid w:val="008B5FE3"/>
    <w:rsid w:val="008B799B"/>
    <w:rsid w:val="008C1072"/>
    <w:rsid w:val="008C1C38"/>
    <w:rsid w:val="008C30D5"/>
    <w:rsid w:val="008C3D57"/>
    <w:rsid w:val="008C53BC"/>
    <w:rsid w:val="008C596E"/>
    <w:rsid w:val="008C6422"/>
    <w:rsid w:val="008C6D07"/>
    <w:rsid w:val="008D0E33"/>
    <w:rsid w:val="008D1507"/>
    <w:rsid w:val="008D4937"/>
    <w:rsid w:val="008D493E"/>
    <w:rsid w:val="008D5D0A"/>
    <w:rsid w:val="008E039E"/>
    <w:rsid w:val="008E2610"/>
    <w:rsid w:val="008E69B3"/>
    <w:rsid w:val="008F0647"/>
    <w:rsid w:val="008F287B"/>
    <w:rsid w:val="00904475"/>
    <w:rsid w:val="00904C22"/>
    <w:rsid w:val="009054C4"/>
    <w:rsid w:val="009146B1"/>
    <w:rsid w:val="00916DF4"/>
    <w:rsid w:val="009229E4"/>
    <w:rsid w:val="00922EA6"/>
    <w:rsid w:val="0092389B"/>
    <w:rsid w:val="00924A52"/>
    <w:rsid w:val="00925DCF"/>
    <w:rsid w:val="0092683F"/>
    <w:rsid w:val="00935B33"/>
    <w:rsid w:val="00935B84"/>
    <w:rsid w:val="009411A5"/>
    <w:rsid w:val="00944F8E"/>
    <w:rsid w:val="00945868"/>
    <w:rsid w:val="009505C0"/>
    <w:rsid w:val="00953DEF"/>
    <w:rsid w:val="009548F4"/>
    <w:rsid w:val="009558C5"/>
    <w:rsid w:val="00960250"/>
    <w:rsid w:val="009607DB"/>
    <w:rsid w:val="00961439"/>
    <w:rsid w:val="00962E0F"/>
    <w:rsid w:val="00963AAE"/>
    <w:rsid w:val="009704A2"/>
    <w:rsid w:val="00970EF3"/>
    <w:rsid w:val="00974144"/>
    <w:rsid w:val="00975629"/>
    <w:rsid w:val="00977074"/>
    <w:rsid w:val="009802FE"/>
    <w:rsid w:val="00981E1A"/>
    <w:rsid w:val="00982069"/>
    <w:rsid w:val="009844AC"/>
    <w:rsid w:val="00984FBB"/>
    <w:rsid w:val="0098746A"/>
    <w:rsid w:val="00987B74"/>
    <w:rsid w:val="009934C3"/>
    <w:rsid w:val="0099370C"/>
    <w:rsid w:val="00993C27"/>
    <w:rsid w:val="00994526"/>
    <w:rsid w:val="009973F9"/>
    <w:rsid w:val="009A08E5"/>
    <w:rsid w:val="009A1BB3"/>
    <w:rsid w:val="009A34C3"/>
    <w:rsid w:val="009A4563"/>
    <w:rsid w:val="009A6345"/>
    <w:rsid w:val="009A6D63"/>
    <w:rsid w:val="009B0A46"/>
    <w:rsid w:val="009B2571"/>
    <w:rsid w:val="009B2D5E"/>
    <w:rsid w:val="009B32EB"/>
    <w:rsid w:val="009B374A"/>
    <w:rsid w:val="009B5250"/>
    <w:rsid w:val="009C1AEF"/>
    <w:rsid w:val="009D022F"/>
    <w:rsid w:val="009D02BF"/>
    <w:rsid w:val="009D11A8"/>
    <w:rsid w:val="009D2B68"/>
    <w:rsid w:val="009D4C64"/>
    <w:rsid w:val="009D5A28"/>
    <w:rsid w:val="009D6789"/>
    <w:rsid w:val="009D7F15"/>
    <w:rsid w:val="009E14E3"/>
    <w:rsid w:val="009E25F8"/>
    <w:rsid w:val="009E2A5E"/>
    <w:rsid w:val="009E2C09"/>
    <w:rsid w:val="009F0063"/>
    <w:rsid w:val="009F00F0"/>
    <w:rsid w:val="009F2E7C"/>
    <w:rsid w:val="009F589D"/>
    <w:rsid w:val="00A00588"/>
    <w:rsid w:val="00A02914"/>
    <w:rsid w:val="00A03894"/>
    <w:rsid w:val="00A0389D"/>
    <w:rsid w:val="00A03C87"/>
    <w:rsid w:val="00A070E1"/>
    <w:rsid w:val="00A108EA"/>
    <w:rsid w:val="00A10F83"/>
    <w:rsid w:val="00A118B8"/>
    <w:rsid w:val="00A12939"/>
    <w:rsid w:val="00A144A4"/>
    <w:rsid w:val="00A1591E"/>
    <w:rsid w:val="00A1648A"/>
    <w:rsid w:val="00A17581"/>
    <w:rsid w:val="00A17B02"/>
    <w:rsid w:val="00A20F6C"/>
    <w:rsid w:val="00A24457"/>
    <w:rsid w:val="00A2453C"/>
    <w:rsid w:val="00A2576E"/>
    <w:rsid w:val="00A30A73"/>
    <w:rsid w:val="00A34636"/>
    <w:rsid w:val="00A34E96"/>
    <w:rsid w:val="00A377BB"/>
    <w:rsid w:val="00A37B81"/>
    <w:rsid w:val="00A40415"/>
    <w:rsid w:val="00A40D72"/>
    <w:rsid w:val="00A41162"/>
    <w:rsid w:val="00A411FC"/>
    <w:rsid w:val="00A4311D"/>
    <w:rsid w:val="00A44829"/>
    <w:rsid w:val="00A44E79"/>
    <w:rsid w:val="00A47361"/>
    <w:rsid w:val="00A52AC2"/>
    <w:rsid w:val="00A52B59"/>
    <w:rsid w:val="00A53474"/>
    <w:rsid w:val="00A53776"/>
    <w:rsid w:val="00A55F91"/>
    <w:rsid w:val="00A60A1E"/>
    <w:rsid w:val="00A612C1"/>
    <w:rsid w:val="00A61F2D"/>
    <w:rsid w:val="00A625AC"/>
    <w:rsid w:val="00A72BDF"/>
    <w:rsid w:val="00A73676"/>
    <w:rsid w:val="00A75DB2"/>
    <w:rsid w:val="00A8198F"/>
    <w:rsid w:val="00A83270"/>
    <w:rsid w:val="00A8416F"/>
    <w:rsid w:val="00A8649F"/>
    <w:rsid w:val="00A908E3"/>
    <w:rsid w:val="00A938BE"/>
    <w:rsid w:val="00A93AD4"/>
    <w:rsid w:val="00A94DE3"/>
    <w:rsid w:val="00A96C92"/>
    <w:rsid w:val="00A97EC0"/>
    <w:rsid w:val="00AA0550"/>
    <w:rsid w:val="00AA3C6A"/>
    <w:rsid w:val="00AA40C1"/>
    <w:rsid w:val="00AA4575"/>
    <w:rsid w:val="00AA6F75"/>
    <w:rsid w:val="00AA7FAA"/>
    <w:rsid w:val="00AB0CD3"/>
    <w:rsid w:val="00AB2B68"/>
    <w:rsid w:val="00AB2E11"/>
    <w:rsid w:val="00AB54FF"/>
    <w:rsid w:val="00AB7CBB"/>
    <w:rsid w:val="00AC071B"/>
    <w:rsid w:val="00AC1742"/>
    <w:rsid w:val="00AC29CF"/>
    <w:rsid w:val="00AC4FB2"/>
    <w:rsid w:val="00AC4FFF"/>
    <w:rsid w:val="00AC6A36"/>
    <w:rsid w:val="00AC7590"/>
    <w:rsid w:val="00AD4AC4"/>
    <w:rsid w:val="00AD5C76"/>
    <w:rsid w:val="00AD623E"/>
    <w:rsid w:val="00AD6B5E"/>
    <w:rsid w:val="00AD7EB2"/>
    <w:rsid w:val="00AE1C80"/>
    <w:rsid w:val="00AE1D29"/>
    <w:rsid w:val="00AE65B1"/>
    <w:rsid w:val="00AF050C"/>
    <w:rsid w:val="00AF2CB4"/>
    <w:rsid w:val="00AF3FBD"/>
    <w:rsid w:val="00AF4D80"/>
    <w:rsid w:val="00AF6E1D"/>
    <w:rsid w:val="00B0071F"/>
    <w:rsid w:val="00B03240"/>
    <w:rsid w:val="00B07525"/>
    <w:rsid w:val="00B11BD9"/>
    <w:rsid w:val="00B11DD3"/>
    <w:rsid w:val="00B12210"/>
    <w:rsid w:val="00B16B1A"/>
    <w:rsid w:val="00B17B5E"/>
    <w:rsid w:val="00B17D1F"/>
    <w:rsid w:val="00B207EC"/>
    <w:rsid w:val="00B21C4F"/>
    <w:rsid w:val="00B2336E"/>
    <w:rsid w:val="00B24B2B"/>
    <w:rsid w:val="00B24E59"/>
    <w:rsid w:val="00B26B74"/>
    <w:rsid w:val="00B2765B"/>
    <w:rsid w:val="00B30CAD"/>
    <w:rsid w:val="00B313E8"/>
    <w:rsid w:val="00B319B5"/>
    <w:rsid w:val="00B319D6"/>
    <w:rsid w:val="00B34E7D"/>
    <w:rsid w:val="00B37032"/>
    <w:rsid w:val="00B42B19"/>
    <w:rsid w:val="00B44EF5"/>
    <w:rsid w:val="00B51055"/>
    <w:rsid w:val="00B536B2"/>
    <w:rsid w:val="00B57065"/>
    <w:rsid w:val="00B60AB3"/>
    <w:rsid w:val="00B60F99"/>
    <w:rsid w:val="00B62F0F"/>
    <w:rsid w:val="00B66A2E"/>
    <w:rsid w:val="00B67630"/>
    <w:rsid w:val="00B6787B"/>
    <w:rsid w:val="00B71CB1"/>
    <w:rsid w:val="00B7212D"/>
    <w:rsid w:val="00B721F6"/>
    <w:rsid w:val="00B72D2A"/>
    <w:rsid w:val="00B7496A"/>
    <w:rsid w:val="00B77759"/>
    <w:rsid w:val="00B82E42"/>
    <w:rsid w:val="00B9402E"/>
    <w:rsid w:val="00B945EA"/>
    <w:rsid w:val="00B9520C"/>
    <w:rsid w:val="00B96F43"/>
    <w:rsid w:val="00BA02CE"/>
    <w:rsid w:val="00BA03A5"/>
    <w:rsid w:val="00BA1F97"/>
    <w:rsid w:val="00BA5323"/>
    <w:rsid w:val="00BA69C7"/>
    <w:rsid w:val="00BA73E2"/>
    <w:rsid w:val="00BB177E"/>
    <w:rsid w:val="00BB226C"/>
    <w:rsid w:val="00BB3BD6"/>
    <w:rsid w:val="00BB52F6"/>
    <w:rsid w:val="00BC1108"/>
    <w:rsid w:val="00BC1D6D"/>
    <w:rsid w:val="00BC214C"/>
    <w:rsid w:val="00BC2D11"/>
    <w:rsid w:val="00BC448A"/>
    <w:rsid w:val="00BC454C"/>
    <w:rsid w:val="00BC4AB2"/>
    <w:rsid w:val="00BC51B8"/>
    <w:rsid w:val="00BC5A44"/>
    <w:rsid w:val="00BD4342"/>
    <w:rsid w:val="00BD73FE"/>
    <w:rsid w:val="00BD7EA9"/>
    <w:rsid w:val="00BE2A62"/>
    <w:rsid w:val="00BE7E71"/>
    <w:rsid w:val="00BF0166"/>
    <w:rsid w:val="00BF079B"/>
    <w:rsid w:val="00BF1B3C"/>
    <w:rsid w:val="00BF296D"/>
    <w:rsid w:val="00BF43AF"/>
    <w:rsid w:val="00C007B5"/>
    <w:rsid w:val="00C00BF2"/>
    <w:rsid w:val="00C10FD8"/>
    <w:rsid w:val="00C13CDA"/>
    <w:rsid w:val="00C16781"/>
    <w:rsid w:val="00C224C9"/>
    <w:rsid w:val="00C2266B"/>
    <w:rsid w:val="00C22682"/>
    <w:rsid w:val="00C22709"/>
    <w:rsid w:val="00C22E52"/>
    <w:rsid w:val="00C233CB"/>
    <w:rsid w:val="00C244C2"/>
    <w:rsid w:val="00C32F71"/>
    <w:rsid w:val="00C40AC8"/>
    <w:rsid w:val="00C451DE"/>
    <w:rsid w:val="00C51FD4"/>
    <w:rsid w:val="00C521EE"/>
    <w:rsid w:val="00C538A3"/>
    <w:rsid w:val="00C553C3"/>
    <w:rsid w:val="00C56243"/>
    <w:rsid w:val="00C5636B"/>
    <w:rsid w:val="00C5763F"/>
    <w:rsid w:val="00C60725"/>
    <w:rsid w:val="00C65C88"/>
    <w:rsid w:val="00C6708D"/>
    <w:rsid w:val="00C67823"/>
    <w:rsid w:val="00C71241"/>
    <w:rsid w:val="00C71E9F"/>
    <w:rsid w:val="00C7218D"/>
    <w:rsid w:val="00C81B13"/>
    <w:rsid w:val="00C82413"/>
    <w:rsid w:val="00C84F8C"/>
    <w:rsid w:val="00C87A68"/>
    <w:rsid w:val="00C921F5"/>
    <w:rsid w:val="00C9265C"/>
    <w:rsid w:val="00C931D0"/>
    <w:rsid w:val="00C9419D"/>
    <w:rsid w:val="00C95EB9"/>
    <w:rsid w:val="00C97415"/>
    <w:rsid w:val="00CA1C9A"/>
    <w:rsid w:val="00CA34EF"/>
    <w:rsid w:val="00CA36A0"/>
    <w:rsid w:val="00CA3C1D"/>
    <w:rsid w:val="00CB1280"/>
    <w:rsid w:val="00CB1661"/>
    <w:rsid w:val="00CB537A"/>
    <w:rsid w:val="00CB5F28"/>
    <w:rsid w:val="00CB6839"/>
    <w:rsid w:val="00CC0B8F"/>
    <w:rsid w:val="00CC480C"/>
    <w:rsid w:val="00CC5899"/>
    <w:rsid w:val="00CC74E9"/>
    <w:rsid w:val="00CD033A"/>
    <w:rsid w:val="00CD0F5E"/>
    <w:rsid w:val="00CD158F"/>
    <w:rsid w:val="00CD3141"/>
    <w:rsid w:val="00CD31CA"/>
    <w:rsid w:val="00CE1F82"/>
    <w:rsid w:val="00CE63B8"/>
    <w:rsid w:val="00CE7BCB"/>
    <w:rsid w:val="00CF104B"/>
    <w:rsid w:val="00CF15B9"/>
    <w:rsid w:val="00CF42F0"/>
    <w:rsid w:val="00CF5C3A"/>
    <w:rsid w:val="00D10A81"/>
    <w:rsid w:val="00D11E5D"/>
    <w:rsid w:val="00D13AB5"/>
    <w:rsid w:val="00D14E03"/>
    <w:rsid w:val="00D15E2A"/>
    <w:rsid w:val="00D16588"/>
    <w:rsid w:val="00D20520"/>
    <w:rsid w:val="00D21892"/>
    <w:rsid w:val="00D221A5"/>
    <w:rsid w:val="00D22BE0"/>
    <w:rsid w:val="00D24125"/>
    <w:rsid w:val="00D25133"/>
    <w:rsid w:val="00D2590B"/>
    <w:rsid w:val="00D27384"/>
    <w:rsid w:val="00D3349D"/>
    <w:rsid w:val="00D373F0"/>
    <w:rsid w:val="00D411E1"/>
    <w:rsid w:val="00D418AB"/>
    <w:rsid w:val="00D448F7"/>
    <w:rsid w:val="00D4610E"/>
    <w:rsid w:val="00D46444"/>
    <w:rsid w:val="00D5242F"/>
    <w:rsid w:val="00D55278"/>
    <w:rsid w:val="00D55DF5"/>
    <w:rsid w:val="00D5668F"/>
    <w:rsid w:val="00D56801"/>
    <w:rsid w:val="00D57808"/>
    <w:rsid w:val="00D604B0"/>
    <w:rsid w:val="00D6077E"/>
    <w:rsid w:val="00D61DAF"/>
    <w:rsid w:val="00D63F39"/>
    <w:rsid w:val="00D64FBE"/>
    <w:rsid w:val="00D6503F"/>
    <w:rsid w:val="00D75495"/>
    <w:rsid w:val="00D76CF6"/>
    <w:rsid w:val="00D80424"/>
    <w:rsid w:val="00D83A8F"/>
    <w:rsid w:val="00D85AF1"/>
    <w:rsid w:val="00D8723C"/>
    <w:rsid w:val="00D908F6"/>
    <w:rsid w:val="00D90E22"/>
    <w:rsid w:val="00D92024"/>
    <w:rsid w:val="00D93465"/>
    <w:rsid w:val="00D94EB5"/>
    <w:rsid w:val="00D95434"/>
    <w:rsid w:val="00D97DAE"/>
    <w:rsid w:val="00D97F5E"/>
    <w:rsid w:val="00DA0E47"/>
    <w:rsid w:val="00DA2844"/>
    <w:rsid w:val="00DA4796"/>
    <w:rsid w:val="00DA63DB"/>
    <w:rsid w:val="00DB024F"/>
    <w:rsid w:val="00DB20B3"/>
    <w:rsid w:val="00DB2EC8"/>
    <w:rsid w:val="00DB4020"/>
    <w:rsid w:val="00DB47C7"/>
    <w:rsid w:val="00DB63EB"/>
    <w:rsid w:val="00DB6AF3"/>
    <w:rsid w:val="00DC4F09"/>
    <w:rsid w:val="00DC60F6"/>
    <w:rsid w:val="00DC6E81"/>
    <w:rsid w:val="00DD24E1"/>
    <w:rsid w:val="00DD4A83"/>
    <w:rsid w:val="00DD53D4"/>
    <w:rsid w:val="00DE1701"/>
    <w:rsid w:val="00DE1EA9"/>
    <w:rsid w:val="00DE41D0"/>
    <w:rsid w:val="00DE72B0"/>
    <w:rsid w:val="00DF0CC8"/>
    <w:rsid w:val="00DF2F87"/>
    <w:rsid w:val="00DF3ED3"/>
    <w:rsid w:val="00DF3F9D"/>
    <w:rsid w:val="00DF4E09"/>
    <w:rsid w:val="00DF61E4"/>
    <w:rsid w:val="00DF67E7"/>
    <w:rsid w:val="00DF68C1"/>
    <w:rsid w:val="00E000AF"/>
    <w:rsid w:val="00E00339"/>
    <w:rsid w:val="00E036B6"/>
    <w:rsid w:val="00E11FF6"/>
    <w:rsid w:val="00E12AB9"/>
    <w:rsid w:val="00E13BD7"/>
    <w:rsid w:val="00E16D6B"/>
    <w:rsid w:val="00E17AE2"/>
    <w:rsid w:val="00E2016F"/>
    <w:rsid w:val="00E217F0"/>
    <w:rsid w:val="00E226C2"/>
    <w:rsid w:val="00E2362F"/>
    <w:rsid w:val="00E2667F"/>
    <w:rsid w:val="00E26B58"/>
    <w:rsid w:val="00E278A5"/>
    <w:rsid w:val="00E3530D"/>
    <w:rsid w:val="00E401D7"/>
    <w:rsid w:val="00E420C5"/>
    <w:rsid w:val="00E46E72"/>
    <w:rsid w:val="00E4715D"/>
    <w:rsid w:val="00E47A43"/>
    <w:rsid w:val="00E47EFB"/>
    <w:rsid w:val="00E536B8"/>
    <w:rsid w:val="00E53891"/>
    <w:rsid w:val="00E55A59"/>
    <w:rsid w:val="00E57B2D"/>
    <w:rsid w:val="00E6205C"/>
    <w:rsid w:val="00E6263B"/>
    <w:rsid w:val="00E64CAD"/>
    <w:rsid w:val="00E655D4"/>
    <w:rsid w:val="00E674E0"/>
    <w:rsid w:val="00E70D1D"/>
    <w:rsid w:val="00E823A8"/>
    <w:rsid w:val="00E859C6"/>
    <w:rsid w:val="00E91257"/>
    <w:rsid w:val="00E91E90"/>
    <w:rsid w:val="00E9300C"/>
    <w:rsid w:val="00E94300"/>
    <w:rsid w:val="00EA0738"/>
    <w:rsid w:val="00EA0F2C"/>
    <w:rsid w:val="00EA158C"/>
    <w:rsid w:val="00EA22E1"/>
    <w:rsid w:val="00EA25FC"/>
    <w:rsid w:val="00EA4FF2"/>
    <w:rsid w:val="00EA591A"/>
    <w:rsid w:val="00EA695D"/>
    <w:rsid w:val="00EB0CD9"/>
    <w:rsid w:val="00EB3AF6"/>
    <w:rsid w:val="00EB4FF9"/>
    <w:rsid w:val="00EC1461"/>
    <w:rsid w:val="00EC3299"/>
    <w:rsid w:val="00EC3870"/>
    <w:rsid w:val="00EC73F5"/>
    <w:rsid w:val="00ED3B74"/>
    <w:rsid w:val="00ED627D"/>
    <w:rsid w:val="00ED6847"/>
    <w:rsid w:val="00EE197B"/>
    <w:rsid w:val="00EF4D0B"/>
    <w:rsid w:val="00EF55CD"/>
    <w:rsid w:val="00EF56D8"/>
    <w:rsid w:val="00EF5DDC"/>
    <w:rsid w:val="00F00EB6"/>
    <w:rsid w:val="00F01CCE"/>
    <w:rsid w:val="00F01DB0"/>
    <w:rsid w:val="00F036F7"/>
    <w:rsid w:val="00F03848"/>
    <w:rsid w:val="00F04D58"/>
    <w:rsid w:val="00F05E35"/>
    <w:rsid w:val="00F1109D"/>
    <w:rsid w:val="00F111C1"/>
    <w:rsid w:val="00F12993"/>
    <w:rsid w:val="00F14B02"/>
    <w:rsid w:val="00F1704E"/>
    <w:rsid w:val="00F20D72"/>
    <w:rsid w:val="00F2236E"/>
    <w:rsid w:val="00F229F0"/>
    <w:rsid w:val="00F26F32"/>
    <w:rsid w:val="00F27EE3"/>
    <w:rsid w:val="00F31CDD"/>
    <w:rsid w:val="00F31F7E"/>
    <w:rsid w:val="00F32135"/>
    <w:rsid w:val="00F33820"/>
    <w:rsid w:val="00F33C4F"/>
    <w:rsid w:val="00F354E8"/>
    <w:rsid w:val="00F4050F"/>
    <w:rsid w:val="00F414E9"/>
    <w:rsid w:val="00F47300"/>
    <w:rsid w:val="00F50D44"/>
    <w:rsid w:val="00F557A0"/>
    <w:rsid w:val="00F6275A"/>
    <w:rsid w:val="00F645CC"/>
    <w:rsid w:val="00F653C5"/>
    <w:rsid w:val="00F65562"/>
    <w:rsid w:val="00F66722"/>
    <w:rsid w:val="00F66777"/>
    <w:rsid w:val="00F6799C"/>
    <w:rsid w:val="00F67CBE"/>
    <w:rsid w:val="00F738DE"/>
    <w:rsid w:val="00F754C1"/>
    <w:rsid w:val="00F75E97"/>
    <w:rsid w:val="00F80F76"/>
    <w:rsid w:val="00F826CD"/>
    <w:rsid w:val="00F85970"/>
    <w:rsid w:val="00F85BCD"/>
    <w:rsid w:val="00F92701"/>
    <w:rsid w:val="00F94701"/>
    <w:rsid w:val="00F94DF8"/>
    <w:rsid w:val="00F94F65"/>
    <w:rsid w:val="00F954E3"/>
    <w:rsid w:val="00FA62AC"/>
    <w:rsid w:val="00FA6BEA"/>
    <w:rsid w:val="00FA7984"/>
    <w:rsid w:val="00FB0F3A"/>
    <w:rsid w:val="00FB161C"/>
    <w:rsid w:val="00FB3BAF"/>
    <w:rsid w:val="00FB52D5"/>
    <w:rsid w:val="00FC1F2F"/>
    <w:rsid w:val="00FC583D"/>
    <w:rsid w:val="00FD059B"/>
    <w:rsid w:val="00FD2DE4"/>
    <w:rsid w:val="00FD3129"/>
    <w:rsid w:val="00FD45E1"/>
    <w:rsid w:val="00FD7650"/>
    <w:rsid w:val="00FE1528"/>
    <w:rsid w:val="00FE1D8A"/>
    <w:rsid w:val="00FE5649"/>
    <w:rsid w:val="00FE5BA2"/>
    <w:rsid w:val="00FE61CB"/>
    <w:rsid w:val="00FE62EA"/>
    <w:rsid w:val="00FF354E"/>
    <w:rsid w:val="00FF4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16B421-6A9C-456C-889A-7B4B67D0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D5D51"/>
    <w:pPr>
      <w:widowControl w:val="0"/>
      <w:jc w:val="both"/>
    </w:pPr>
    <w:rPr>
      <w:rFonts w:ascii="ＭＳ 明朝" w:eastAsia="ＭＳ 明朝" w:hAnsi="Century" w:cs="Times New Roman"/>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80C"/>
    <w:pPr>
      <w:tabs>
        <w:tab w:val="center" w:pos="4252"/>
        <w:tab w:val="right" w:pos="8504"/>
      </w:tabs>
      <w:snapToGrid w:val="0"/>
    </w:pPr>
  </w:style>
  <w:style w:type="character" w:customStyle="1" w:styleId="a4">
    <w:name w:val="ヘッダー (文字)"/>
    <w:basedOn w:val="a0"/>
    <w:link w:val="a3"/>
    <w:uiPriority w:val="99"/>
    <w:rsid w:val="00CC480C"/>
    <w:rPr>
      <w:rFonts w:ascii="ＭＳ 明朝" w:eastAsia="ＭＳ 明朝" w:hAnsi="Century" w:cs="Times New Roman"/>
      <w:kern w:val="22"/>
      <w:sz w:val="22"/>
    </w:rPr>
  </w:style>
  <w:style w:type="paragraph" w:styleId="a5">
    <w:name w:val="footer"/>
    <w:basedOn w:val="a"/>
    <w:link w:val="a6"/>
    <w:uiPriority w:val="99"/>
    <w:unhideWhenUsed/>
    <w:rsid w:val="00CC480C"/>
    <w:pPr>
      <w:tabs>
        <w:tab w:val="center" w:pos="4252"/>
        <w:tab w:val="right" w:pos="8504"/>
      </w:tabs>
      <w:snapToGrid w:val="0"/>
    </w:pPr>
  </w:style>
  <w:style w:type="character" w:customStyle="1" w:styleId="a6">
    <w:name w:val="フッター (文字)"/>
    <w:basedOn w:val="a0"/>
    <w:link w:val="a5"/>
    <w:uiPriority w:val="99"/>
    <w:rsid w:val="00CC480C"/>
    <w:rPr>
      <w:rFonts w:ascii="ＭＳ 明朝" w:eastAsia="ＭＳ 明朝" w:hAnsi="Century" w:cs="Times New Roman"/>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1192</Words>
  <Characters>6800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佐藤貴則</dc:creator>
  <cp:lastModifiedBy>小野寺 淳</cp:lastModifiedBy>
  <cp:revision>3</cp:revision>
  <dcterms:created xsi:type="dcterms:W3CDTF">2017-01-15T08:16:00Z</dcterms:created>
  <dcterms:modified xsi:type="dcterms:W3CDTF">2017-01-24T03:15:00Z</dcterms:modified>
</cp:coreProperties>
</file>