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C86" w:rsidRPr="00203CC2" w:rsidRDefault="00233C86" w:rsidP="0019289E">
      <w:pPr>
        <w:spacing w:line="240" w:lineRule="auto"/>
        <w:rPr>
          <w:rFonts w:ascii="ＭＳ 明朝" w:eastAsia="ＭＳ 明朝" w:hAnsi="ＭＳ 明朝" w:hint="eastAsia"/>
          <w:b/>
          <w:sz w:val="24"/>
          <w:szCs w:val="24"/>
        </w:rPr>
      </w:pPr>
      <w:bookmarkStart w:id="0" w:name="_GoBack"/>
      <w:bookmarkEnd w:id="0"/>
      <w:r w:rsidRPr="00203CC2">
        <w:rPr>
          <w:rFonts w:ascii="ＭＳ 明朝" w:eastAsia="ＭＳ 明朝" w:hAnsi="ＭＳ 明朝" w:hint="eastAsia"/>
          <w:b/>
          <w:sz w:val="24"/>
          <w:szCs w:val="24"/>
        </w:rPr>
        <w:t>８　市民窓口</w:t>
      </w:r>
    </w:p>
    <w:p w:rsidR="00233C86" w:rsidRPr="00203CC2" w:rsidRDefault="00233C86" w:rsidP="0019289E">
      <w:pPr>
        <w:spacing w:line="240" w:lineRule="auto"/>
        <w:rPr>
          <w:rFonts w:ascii="ＭＳ 明朝" w:eastAsia="ＭＳ 明朝" w:hAnsi="ＭＳ 明朝" w:hint="eastAsia"/>
          <w:b/>
          <w:sz w:val="24"/>
          <w:szCs w:val="24"/>
        </w:rPr>
      </w:pPr>
      <w:r w:rsidRPr="00203CC2">
        <w:rPr>
          <w:rFonts w:ascii="ＭＳ 明朝" w:eastAsia="ＭＳ 明朝" w:hAnsi="ＭＳ 明朝" w:hint="eastAsia"/>
          <w:b/>
          <w:sz w:val="24"/>
          <w:szCs w:val="24"/>
        </w:rPr>
        <w:t>（１）目的と業務内容</w:t>
      </w:r>
    </w:p>
    <w:p w:rsidR="00233C86" w:rsidRPr="00203CC2" w:rsidRDefault="00233C86" w:rsidP="0019289E">
      <w:pPr>
        <w:spacing w:line="240" w:lineRule="auto"/>
        <w:ind w:leftChars="200" w:left="445" w:firstLineChars="100" w:firstLine="222"/>
        <w:rPr>
          <w:rFonts w:ascii="ＭＳ 明朝" w:eastAsia="ＭＳ 明朝" w:hAnsi="ＭＳ 明朝" w:hint="eastAsia"/>
        </w:rPr>
      </w:pPr>
      <w:r w:rsidRPr="00203CC2">
        <w:rPr>
          <w:rFonts w:ascii="ＭＳ 明朝" w:eastAsia="ＭＳ 明朝" w:hAnsi="ＭＳ 明朝" w:hint="eastAsia"/>
        </w:rPr>
        <w:t>市民窓口の目的は、弁護士業務が市民に理解され身近なものとなるようにするため、弁護士、弁護士法人、外国法律事務所及び弁護士会の業務に関する苦情、要望等について適切かつ迅速な対応を行うことであり、その業務内容は、①苦情等の聴取及びこれに対する対応、②苦情の内容の検討、分析、調査、③苦情等の対象となった弁護士会員に対する助言等である(弁護士業務等に関する市民窓口設置規則第1条、第2条）。</w:t>
      </w:r>
    </w:p>
    <w:p w:rsidR="00233C86" w:rsidRPr="00203CC2" w:rsidRDefault="00233C86" w:rsidP="0019289E">
      <w:pPr>
        <w:spacing w:line="240" w:lineRule="auto"/>
        <w:rPr>
          <w:rFonts w:ascii="ＭＳ 明朝" w:eastAsia="ＭＳ 明朝" w:hAnsi="ＭＳ 明朝" w:hint="eastAsia"/>
          <w:b/>
          <w:sz w:val="24"/>
          <w:szCs w:val="24"/>
        </w:rPr>
      </w:pPr>
      <w:r w:rsidRPr="00203CC2">
        <w:rPr>
          <w:rFonts w:ascii="ＭＳ 明朝" w:eastAsia="ＭＳ 明朝" w:hAnsi="ＭＳ 明朝" w:hint="eastAsia"/>
          <w:b/>
          <w:sz w:val="24"/>
          <w:szCs w:val="24"/>
        </w:rPr>
        <w:t>（２）東弁における市民窓口の運用</w:t>
      </w:r>
    </w:p>
    <w:p w:rsidR="0019289E" w:rsidRPr="00203CC2" w:rsidRDefault="00233C86" w:rsidP="0019289E">
      <w:pPr>
        <w:spacing w:line="240" w:lineRule="auto"/>
        <w:ind w:left="445" w:hangingChars="200" w:hanging="445"/>
        <w:rPr>
          <w:rFonts w:ascii="ＭＳ 明朝" w:eastAsia="ＭＳ 明朝" w:hAnsi="ＭＳ 明朝"/>
        </w:rPr>
      </w:pPr>
      <w:r w:rsidRPr="00203CC2">
        <w:rPr>
          <w:rFonts w:ascii="ＭＳ 明朝" w:eastAsia="ＭＳ 明朝" w:hAnsi="ＭＳ 明朝" w:hint="eastAsia"/>
        </w:rPr>
        <w:t xml:space="preserve">　　</w:t>
      </w:r>
      <w:r w:rsidR="0019289E" w:rsidRPr="00203CC2">
        <w:rPr>
          <w:rFonts w:ascii="ＭＳ 明朝" w:eastAsia="ＭＳ 明朝" w:hAnsi="ＭＳ 明朝" w:hint="eastAsia"/>
        </w:rPr>
        <w:t xml:space="preserve">　</w:t>
      </w:r>
      <w:r w:rsidRPr="00203CC2">
        <w:rPr>
          <w:rFonts w:ascii="ＭＳ 明朝" w:eastAsia="ＭＳ 明朝" w:hAnsi="ＭＳ 明朝" w:hint="eastAsia"/>
        </w:rPr>
        <w:t>市民窓口の運用は、取り扱う苦情件数や事務局の人員等により、各単位会で大きく異なる。東弁の場合は、年間2000件近い苦情を取り扱うこと、それに伴い事務局体制や情報処理体制等が整っていることもあり、設置規則記載の「身近」と「迅速」に力点を置いて運用されている。</w:t>
      </w:r>
    </w:p>
    <w:p w:rsidR="0019289E" w:rsidRPr="00203CC2" w:rsidRDefault="00233C86" w:rsidP="0019289E">
      <w:pPr>
        <w:spacing w:line="240" w:lineRule="auto"/>
        <w:ind w:leftChars="200" w:left="445" w:firstLineChars="100" w:firstLine="222"/>
        <w:rPr>
          <w:rFonts w:ascii="ＭＳ 明朝" w:eastAsia="ＭＳ 明朝" w:hAnsi="ＭＳ 明朝"/>
        </w:rPr>
      </w:pPr>
      <w:r w:rsidRPr="00203CC2">
        <w:rPr>
          <w:rFonts w:ascii="ＭＳ 明朝" w:eastAsia="ＭＳ 明朝" w:hAnsi="ＭＳ 明朝" w:hint="eastAsia"/>
        </w:rPr>
        <w:t>受付は平日の午後1時から午後3時まで毎日で、その間相談担当弁護士2名が弁護士会に待機している。苦情申出人からの電話は、事務局員が受け、対象会員が当会会員であることを確認して、直ちに相談担当弁護士に取り次ぐ。相談に予約や事前審査等の制約はない。苦情を受け付けた相談担当弁護士は、調査してから回答するという対応はせず、原則として受けた電話で即時に回答をする。</w:t>
      </w:r>
    </w:p>
    <w:p w:rsidR="00233C86" w:rsidRPr="00203CC2" w:rsidRDefault="00233C86" w:rsidP="0019289E">
      <w:pPr>
        <w:spacing w:line="240" w:lineRule="auto"/>
        <w:ind w:leftChars="200" w:left="445" w:firstLineChars="100" w:firstLine="222"/>
        <w:rPr>
          <w:rFonts w:ascii="ＭＳ 明朝" w:eastAsia="ＭＳ 明朝" w:hAnsi="ＭＳ 明朝" w:hint="eastAsia"/>
        </w:rPr>
      </w:pPr>
      <w:r w:rsidRPr="00203CC2">
        <w:rPr>
          <w:rFonts w:ascii="ＭＳ 明朝" w:eastAsia="ＭＳ 明朝" w:hAnsi="ＭＳ 明朝" w:hint="eastAsia"/>
        </w:rPr>
        <w:t>相談担当弁護士の資格については、規則上の定めはないが、弁護士業務等について十分な知識と経験が要求されることから、</w:t>
      </w:r>
      <w:r w:rsidR="002149D1" w:rsidRPr="00203CC2">
        <w:rPr>
          <w:rFonts w:ascii="ＭＳ 明朝" w:eastAsia="ＭＳ 明朝" w:hAnsi="ＭＳ 明朝" w:hint="eastAsia"/>
        </w:rPr>
        <w:t>実際には役員や</w:t>
      </w:r>
      <w:r w:rsidRPr="00203CC2">
        <w:rPr>
          <w:rFonts w:ascii="ＭＳ 明朝" w:eastAsia="ＭＳ 明朝" w:hAnsi="ＭＳ 明朝" w:hint="eastAsia"/>
        </w:rPr>
        <w:t>委員会委員長の経験者等に限られている。そのため、担当者に対する研修制度はなく、相談に対する取扱いの均等化はマニュアルで図っている。</w:t>
      </w:r>
    </w:p>
    <w:p w:rsidR="00233C86" w:rsidRPr="00203CC2" w:rsidRDefault="00233C86" w:rsidP="0019289E">
      <w:pPr>
        <w:spacing w:line="240" w:lineRule="auto"/>
        <w:rPr>
          <w:rFonts w:ascii="ＭＳ 明朝" w:eastAsia="ＭＳ 明朝" w:hAnsi="ＭＳ 明朝" w:hint="eastAsia"/>
          <w:b/>
          <w:sz w:val="24"/>
          <w:szCs w:val="24"/>
        </w:rPr>
      </w:pPr>
      <w:r w:rsidRPr="00203CC2">
        <w:rPr>
          <w:rFonts w:ascii="ＭＳ 明朝" w:eastAsia="ＭＳ 明朝" w:hAnsi="ＭＳ 明朝" w:hint="eastAsia"/>
          <w:b/>
          <w:sz w:val="24"/>
          <w:szCs w:val="24"/>
        </w:rPr>
        <w:t>（３）不祥事対策</w:t>
      </w:r>
    </w:p>
    <w:p w:rsidR="00233C86" w:rsidRPr="00203CC2" w:rsidRDefault="00233C86" w:rsidP="0019289E">
      <w:pPr>
        <w:spacing w:line="240" w:lineRule="auto"/>
        <w:ind w:left="445" w:hangingChars="200" w:hanging="445"/>
        <w:rPr>
          <w:rFonts w:ascii="ＭＳ 明朝" w:eastAsia="ＭＳ 明朝" w:hAnsi="ＭＳ 明朝" w:hint="eastAsia"/>
        </w:rPr>
      </w:pPr>
      <w:r w:rsidRPr="00203CC2">
        <w:rPr>
          <w:rFonts w:ascii="ＭＳ 明朝" w:eastAsia="ＭＳ 明朝" w:hAnsi="ＭＳ 明朝" w:hint="eastAsia"/>
        </w:rPr>
        <w:t xml:space="preserve">　　</w:t>
      </w:r>
      <w:r w:rsidR="0019289E" w:rsidRPr="00203CC2">
        <w:rPr>
          <w:rFonts w:ascii="ＭＳ 明朝" w:eastAsia="ＭＳ 明朝" w:hAnsi="ＭＳ 明朝" w:hint="eastAsia"/>
        </w:rPr>
        <w:t xml:space="preserve">　</w:t>
      </w:r>
      <w:r w:rsidRPr="00203CC2">
        <w:rPr>
          <w:rFonts w:ascii="ＭＳ 明朝" w:eastAsia="ＭＳ 明朝" w:hAnsi="ＭＳ 明朝" w:hint="eastAsia"/>
        </w:rPr>
        <w:t>日弁連は、2013(平成25)年1月18日の「弁護士の一連の不祥事に関する理事会決議」において、不祥事根絶のために最善を尽くす決意を表明し、これに応じて弁護士業務の適正化に関する委員会を設置し、その一連の活動の中で、市民窓口が不祥事対策においても非行探知手段等の重要な役割を果たすべきことを確認し、その新たな取り組みについての検討を開始した。</w:t>
      </w:r>
    </w:p>
    <w:p w:rsidR="0019289E" w:rsidRPr="00203CC2" w:rsidRDefault="00233C86" w:rsidP="0019289E">
      <w:pPr>
        <w:spacing w:line="240" w:lineRule="auto"/>
        <w:ind w:left="445" w:hangingChars="200" w:hanging="445"/>
        <w:rPr>
          <w:rFonts w:ascii="ＭＳ 明朝" w:eastAsia="ＭＳ 明朝" w:hAnsi="ＭＳ 明朝"/>
        </w:rPr>
      </w:pPr>
      <w:r w:rsidRPr="00203CC2">
        <w:rPr>
          <w:rFonts w:ascii="ＭＳ 明朝" w:eastAsia="ＭＳ 明朝" w:hAnsi="ＭＳ 明朝" w:hint="eastAsia"/>
        </w:rPr>
        <w:t xml:space="preserve">　　</w:t>
      </w:r>
      <w:r w:rsidR="0019289E" w:rsidRPr="00203CC2">
        <w:rPr>
          <w:rFonts w:ascii="ＭＳ 明朝" w:eastAsia="ＭＳ 明朝" w:hAnsi="ＭＳ 明朝" w:hint="eastAsia"/>
        </w:rPr>
        <w:t xml:space="preserve">　</w:t>
      </w:r>
      <w:r w:rsidRPr="00203CC2">
        <w:rPr>
          <w:rFonts w:ascii="ＭＳ 明朝" w:eastAsia="ＭＳ 明朝" w:hAnsi="ＭＳ 明朝" w:hint="eastAsia"/>
        </w:rPr>
        <w:t>本来、苦情処理と不祥事対策は別物である。苦情には、態度が気に入らないといったレベルの不満、弁護士業務に対する誤解に基づく指摘、悪意のある言いがかり等も含まれ、むしろ、そのような苦情が大半であるといっても過言ではない。しかし、中には、預り金が清算されていない、債務整理の放置により訴訟を提起された、事件を依頼したが弁護士と会ったことがない等と云った深刻な苦情も含まれている。また、連絡が取れないという苦情が度重なった会員がその後横領で逮捕されたというケースもある。苦情処理と不祥事対策は別物であっても、苦情処理を不祥事対策に活かすことが有用であることは疑いない。</w:t>
      </w:r>
    </w:p>
    <w:p w:rsidR="00233C86" w:rsidRPr="00203CC2" w:rsidRDefault="00233C86" w:rsidP="0019289E">
      <w:pPr>
        <w:spacing w:line="240" w:lineRule="auto"/>
        <w:ind w:leftChars="200" w:left="445" w:firstLineChars="100" w:firstLine="222"/>
        <w:rPr>
          <w:rFonts w:ascii="ＭＳ 明朝" w:eastAsia="ＭＳ 明朝" w:hAnsi="ＭＳ 明朝" w:hint="eastAsia"/>
        </w:rPr>
      </w:pPr>
      <w:r w:rsidRPr="00203CC2">
        <w:rPr>
          <w:rFonts w:ascii="ＭＳ 明朝" w:eastAsia="ＭＳ 明朝" w:hAnsi="ＭＳ 明朝" w:hint="eastAsia"/>
        </w:rPr>
        <w:t>ところで、不祥事対策に委員会の収集した情報を活用しようという発想は、市民窓口にとどまらず、綱紀、紛議、非弁対策その他の関連委員会についても求められるところである。更に、このような情報の有効活用は、理事者と委員会という縦の関係のみならず、委員会間の横の関係においても有用である。そのため、東弁では不祥事関連の委員会と理事</w:t>
      </w:r>
      <w:r w:rsidRPr="00203CC2">
        <w:rPr>
          <w:rFonts w:ascii="ＭＳ 明朝" w:eastAsia="ＭＳ 明朝" w:hAnsi="ＭＳ 明朝" w:hint="eastAsia"/>
        </w:rPr>
        <w:lastRenderedPageBreak/>
        <w:t>者の連絡協議会が開かれている。</w:t>
      </w:r>
    </w:p>
    <w:p w:rsidR="00233C86" w:rsidRPr="00203CC2" w:rsidRDefault="00233C86" w:rsidP="0019289E">
      <w:pPr>
        <w:spacing w:line="240" w:lineRule="auto"/>
        <w:rPr>
          <w:rFonts w:ascii="ＭＳ 明朝" w:eastAsia="ＭＳ 明朝" w:hAnsi="ＭＳ 明朝" w:hint="eastAsia"/>
          <w:b/>
          <w:sz w:val="24"/>
          <w:szCs w:val="24"/>
        </w:rPr>
      </w:pPr>
      <w:r w:rsidRPr="00203CC2">
        <w:rPr>
          <w:rFonts w:ascii="ＭＳ 明朝" w:eastAsia="ＭＳ 明朝" w:hAnsi="ＭＳ 明朝" w:hint="eastAsia"/>
          <w:b/>
          <w:sz w:val="24"/>
          <w:szCs w:val="24"/>
        </w:rPr>
        <w:t>（４）情報の整理</w:t>
      </w:r>
    </w:p>
    <w:p w:rsidR="00233C86" w:rsidRPr="00203CC2" w:rsidRDefault="00233C86" w:rsidP="0019289E">
      <w:pPr>
        <w:spacing w:line="240" w:lineRule="auto"/>
        <w:ind w:left="445" w:hangingChars="200" w:hanging="445"/>
        <w:rPr>
          <w:rFonts w:ascii="ＭＳ 明朝" w:eastAsia="ＭＳ 明朝" w:hAnsi="ＭＳ 明朝" w:hint="eastAsia"/>
        </w:rPr>
      </w:pPr>
      <w:r w:rsidRPr="00203CC2">
        <w:rPr>
          <w:rFonts w:ascii="ＭＳ 明朝" w:eastAsia="ＭＳ 明朝" w:hAnsi="ＭＳ 明朝" w:hint="eastAsia"/>
        </w:rPr>
        <w:t xml:space="preserve">　　</w:t>
      </w:r>
      <w:r w:rsidR="0019289E" w:rsidRPr="00203CC2">
        <w:rPr>
          <w:rFonts w:ascii="ＭＳ 明朝" w:eastAsia="ＭＳ 明朝" w:hAnsi="ＭＳ 明朝" w:hint="eastAsia"/>
        </w:rPr>
        <w:t xml:space="preserve">　</w:t>
      </w:r>
      <w:r w:rsidRPr="00203CC2">
        <w:rPr>
          <w:rFonts w:ascii="ＭＳ 明朝" w:eastAsia="ＭＳ 明朝" w:hAnsi="ＭＳ 明朝" w:hint="eastAsia"/>
        </w:rPr>
        <w:t>市民窓口の業務により収集された情報を不祥事問題に活用するには、情報の整理が必要である。市民窓口に集まる情報は事前審査も事実調査も経ていないし、不祥事とは関わりのない苦情も多く含まれている。その中から、不祥事のシグナル、即ち、預り金の未精算等苦情内容の重大案件と、短期間に苦情の重複している会員を抽出し、理事者に分かりやすく伝達する必要がある。この点、東弁においては、市民窓口の全窓口業務の結果が直ちにデータベース化・ランク付けされ、毎日理事者に提供されている。</w:t>
      </w:r>
    </w:p>
    <w:p w:rsidR="00233C86" w:rsidRPr="00203CC2" w:rsidRDefault="00233C86" w:rsidP="0019289E">
      <w:pPr>
        <w:spacing w:line="240" w:lineRule="auto"/>
        <w:rPr>
          <w:rFonts w:ascii="ＭＳ 明朝" w:eastAsia="ＭＳ 明朝" w:hAnsi="ＭＳ 明朝" w:hint="eastAsia"/>
          <w:b/>
          <w:sz w:val="24"/>
          <w:szCs w:val="24"/>
        </w:rPr>
      </w:pPr>
      <w:r w:rsidRPr="00203CC2">
        <w:rPr>
          <w:rFonts w:ascii="ＭＳ 明朝" w:eastAsia="ＭＳ 明朝" w:hAnsi="ＭＳ 明朝" w:hint="eastAsia"/>
          <w:b/>
          <w:sz w:val="24"/>
          <w:szCs w:val="24"/>
        </w:rPr>
        <w:t>（５）調査の開始</w:t>
      </w:r>
    </w:p>
    <w:p w:rsidR="00233C86" w:rsidRPr="00203CC2" w:rsidRDefault="00233C86" w:rsidP="0019289E">
      <w:pPr>
        <w:spacing w:line="240" w:lineRule="auto"/>
        <w:ind w:leftChars="200" w:left="445" w:firstLineChars="100" w:firstLine="222"/>
        <w:rPr>
          <w:rFonts w:ascii="ＭＳ 明朝" w:eastAsia="ＭＳ 明朝" w:hAnsi="ＭＳ 明朝" w:hint="eastAsia"/>
        </w:rPr>
      </w:pPr>
      <w:r w:rsidRPr="00203CC2">
        <w:rPr>
          <w:rFonts w:ascii="ＭＳ 明朝" w:eastAsia="ＭＳ 明朝" w:hAnsi="ＭＳ 明朝" w:hint="eastAsia"/>
        </w:rPr>
        <w:t>理事者は、市民窓口から提供された情報に、不祥事に発展する危惧があると判断した場合には、速やかに事実調査を開始する必要がある。この点、対象会員に対して強制力のある調査を実施するためには、会則改正等の立法手続が必要である。そこで、東弁では、市民窓口設置規則4条の2の1項「会長は、必要があると認めるときは、委員の中から1人又は数人を指名し、それらの者に対象会員に対する苦情等の確認、内容の伝達、対象会員の釈明又は意見の聴取その他必要な調査を行わせることができる。」との規定を積極活用して事実調査を行う取り組みが進められ、2013(平成25)年5月から調査チームを編成して、会長が上記制度を利用しやすい環境を整え、同制度が積極的に活用されるに至っている。</w:t>
      </w:r>
    </w:p>
    <w:p w:rsidR="00233C86" w:rsidRPr="00203CC2" w:rsidRDefault="00233C86" w:rsidP="0019289E">
      <w:pPr>
        <w:spacing w:line="240" w:lineRule="auto"/>
        <w:rPr>
          <w:rFonts w:ascii="ＭＳ 明朝" w:eastAsia="ＭＳ 明朝" w:hAnsi="ＭＳ 明朝" w:hint="eastAsia"/>
          <w:b/>
          <w:sz w:val="24"/>
          <w:szCs w:val="24"/>
        </w:rPr>
      </w:pPr>
      <w:r w:rsidRPr="00203CC2">
        <w:rPr>
          <w:rFonts w:ascii="ＭＳ 明朝" w:eastAsia="ＭＳ 明朝" w:hAnsi="ＭＳ 明朝" w:hint="eastAsia"/>
          <w:b/>
          <w:sz w:val="24"/>
          <w:szCs w:val="24"/>
        </w:rPr>
        <w:t>（６）</w:t>
      </w:r>
      <w:r w:rsidR="00541620" w:rsidRPr="00203CC2">
        <w:rPr>
          <w:rFonts w:ascii="ＭＳ 明朝" w:eastAsia="ＭＳ 明朝" w:hAnsi="ＭＳ 明朝" w:hint="eastAsia"/>
          <w:b/>
          <w:sz w:val="24"/>
          <w:szCs w:val="24"/>
        </w:rPr>
        <w:t>多重苦情対象</w:t>
      </w:r>
      <w:r w:rsidRPr="00203CC2">
        <w:rPr>
          <w:rFonts w:ascii="ＭＳ 明朝" w:eastAsia="ＭＳ 明朝" w:hAnsi="ＭＳ 明朝" w:hint="eastAsia"/>
          <w:b/>
          <w:sz w:val="24"/>
          <w:szCs w:val="24"/>
        </w:rPr>
        <w:t>会員への</w:t>
      </w:r>
      <w:r w:rsidR="00541620" w:rsidRPr="00203CC2">
        <w:rPr>
          <w:rFonts w:ascii="ＭＳ 明朝" w:eastAsia="ＭＳ 明朝" w:hAnsi="ＭＳ 明朝" w:hint="eastAsia"/>
          <w:b/>
          <w:sz w:val="24"/>
          <w:szCs w:val="24"/>
        </w:rPr>
        <w:t>対応</w:t>
      </w:r>
    </w:p>
    <w:p w:rsidR="00233C86" w:rsidRPr="00203CC2" w:rsidRDefault="00233C86" w:rsidP="0019289E">
      <w:pPr>
        <w:spacing w:line="240" w:lineRule="auto"/>
        <w:ind w:left="445" w:hangingChars="200" w:hanging="445"/>
        <w:rPr>
          <w:rFonts w:ascii="ＭＳ 明朝" w:eastAsia="ＭＳ 明朝" w:hAnsi="ＭＳ 明朝" w:hint="eastAsia"/>
        </w:rPr>
      </w:pPr>
      <w:r w:rsidRPr="00203CC2">
        <w:rPr>
          <w:rFonts w:ascii="ＭＳ 明朝" w:eastAsia="ＭＳ 明朝" w:hAnsi="ＭＳ 明朝" w:hint="eastAsia"/>
        </w:rPr>
        <w:t xml:space="preserve">　</w:t>
      </w:r>
      <w:r w:rsidR="0019289E" w:rsidRPr="00203CC2">
        <w:rPr>
          <w:rFonts w:ascii="ＭＳ 明朝" w:eastAsia="ＭＳ 明朝" w:hAnsi="ＭＳ 明朝" w:hint="eastAsia"/>
        </w:rPr>
        <w:t xml:space="preserve">　</w:t>
      </w:r>
      <w:r w:rsidRPr="00203CC2">
        <w:rPr>
          <w:rFonts w:ascii="ＭＳ 明朝" w:eastAsia="ＭＳ 明朝" w:hAnsi="ＭＳ 明朝" w:hint="eastAsia"/>
        </w:rPr>
        <w:t xml:space="preserve">　</w:t>
      </w:r>
      <w:r w:rsidR="00B82664" w:rsidRPr="00203CC2">
        <w:rPr>
          <w:rFonts w:ascii="ＭＳ 明朝" w:eastAsia="ＭＳ 明朝" w:hAnsi="ＭＳ 明朝" w:hint="eastAsia"/>
        </w:rPr>
        <w:t>東弁では、</w:t>
      </w:r>
      <w:r w:rsidRPr="00203CC2">
        <w:rPr>
          <w:rFonts w:ascii="ＭＳ 明朝" w:eastAsia="ＭＳ 明朝" w:hAnsi="ＭＳ 明朝" w:hint="eastAsia"/>
        </w:rPr>
        <w:t>同一会員に対し1年以内に3人以上の申出人から苦情の申出があったときは、会長は、当該会員に対して書面により上記の苦情の申出があった旨を通知することができるとの規則改正が実施されている。</w:t>
      </w:r>
      <w:r w:rsidR="00541620" w:rsidRPr="00203CC2">
        <w:rPr>
          <w:rFonts w:ascii="ＭＳ 明朝" w:eastAsia="ＭＳ 明朝" w:hAnsi="ＭＳ 明朝" w:hint="eastAsia"/>
        </w:rPr>
        <w:t>更に、2013(平成25)年12月24日の日弁連不祥事対策第2次提言は、</w:t>
      </w:r>
      <w:r w:rsidR="00D644BF" w:rsidRPr="00203CC2">
        <w:rPr>
          <w:rFonts w:ascii="ＭＳ 明朝" w:eastAsia="ＭＳ 明朝" w:hAnsi="ＭＳ 明朝" w:hint="eastAsia"/>
        </w:rPr>
        <w:t>弁護士の職務の独立性に配慮しつつも、対象会員から事情聴取し、助言し、報告を求めるといった対応を提言するが、当会では、上記調査チームや担当役員がこれに相当する対応を行っている。</w:t>
      </w:r>
    </w:p>
    <w:p w:rsidR="00233C86" w:rsidRPr="00203CC2" w:rsidRDefault="00233C86" w:rsidP="0019289E">
      <w:pPr>
        <w:spacing w:line="240" w:lineRule="auto"/>
        <w:rPr>
          <w:rFonts w:ascii="ＭＳ 明朝" w:eastAsia="ＭＳ 明朝" w:hAnsi="ＭＳ 明朝" w:hint="eastAsia"/>
          <w:b/>
          <w:sz w:val="24"/>
          <w:szCs w:val="24"/>
        </w:rPr>
      </w:pPr>
      <w:r w:rsidRPr="00203CC2">
        <w:rPr>
          <w:rFonts w:ascii="ＭＳ 明朝" w:eastAsia="ＭＳ 明朝" w:hAnsi="ＭＳ 明朝" w:hint="eastAsia"/>
          <w:b/>
          <w:sz w:val="24"/>
          <w:szCs w:val="24"/>
        </w:rPr>
        <w:t>（７）市民窓口データの倫理研修への活用</w:t>
      </w:r>
    </w:p>
    <w:p w:rsidR="00233C86" w:rsidRPr="00203CC2" w:rsidRDefault="00233C86" w:rsidP="0019289E">
      <w:pPr>
        <w:spacing w:line="240" w:lineRule="auto"/>
        <w:ind w:left="445" w:hangingChars="200" w:hanging="445"/>
        <w:rPr>
          <w:rFonts w:ascii="ＭＳ 明朝" w:eastAsia="ＭＳ 明朝" w:hAnsi="ＭＳ 明朝" w:hint="eastAsia"/>
        </w:rPr>
      </w:pPr>
      <w:r w:rsidRPr="00203CC2">
        <w:rPr>
          <w:rFonts w:ascii="ＭＳ 明朝" w:eastAsia="ＭＳ 明朝" w:hAnsi="ＭＳ 明朝" w:hint="eastAsia"/>
        </w:rPr>
        <w:t xml:space="preserve">　　</w:t>
      </w:r>
      <w:r w:rsidR="0019289E" w:rsidRPr="00203CC2">
        <w:rPr>
          <w:rFonts w:ascii="ＭＳ 明朝" w:eastAsia="ＭＳ 明朝" w:hAnsi="ＭＳ 明朝" w:hint="eastAsia"/>
        </w:rPr>
        <w:t xml:space="preserve">　</w:t>
      </w:r>
      <w:r w:rsidRPr="00203CC2">
        <w:rPr>
          <w:rFonts w:ascii="ＭＳ 明朝" w:eastAsia="ＭＳ 明朝" w:hAnsi="ＭＳ 明朝" w:hint="eastAsia"/>
        </w:rPr>
        <w:t>2013(平成25)年度の苦情件数は、会員</w:t>
      </w:r>
      <w:r w:rsidR="006D1C46" w:rsidRPr="00203CC2">
        <w:rPr>
          <w:rFonts w:ascii="ＭＳ 明朝" w:eastAsia="ＭＳ 明朝" w:hAnsi="ＭＳ 明朝" w:hint="eastAsia"/>
        </w:rPr>
        <w:t>7476</w:t>
      </w:r>
      <w:r w:rsidRPr="00203CC2">
        <w:rPr>
          <w:rFonts w:ascii="ＭＳ 明朝" w:eastAsia="ＭＳ 明朝" w:hAnsi="ＭＳ 明朝" w:hint="eastAsia"/>
        </w:rPr>
        <w:t>名に対し</w:t>
      </w:r>
      <w:r w:rsidR="006D1C46" w:rsidRPr="00203CC2">
        <w:rPr>
          <w:rFonts w:ascii="ＭＳ 明朝" w:eastAsia="ＭＳ 明朝" w:hAnsi="ＭＳ 明朝" w:hint="eastAsia"/>
        </w:rPr>
        <w:t>1874</w:t>
      </w:r>
      <w:r w:rsidRPr="00203CC2">
        <w:rPr>
          <w:rFonts w:ascii="ＭＳ 明朝" w:eastAsia="ＭＳ 明朝" w:hAnsi="ＭＳ 明朝" w:hint="eastAsia"/>
        </w:rPr>
        <w:t>件であった。苦情内容としては、報酬に関する説明不足、事件処理の報告の懈怠、事件処理に関する説明不足、事件処理の遅滞及び態度に対する不満等の苦情が大半であり、弁護士としての基本的な心構えや依頼者とのコミュニケーションの大切さを改めて痛感する結果となっている。もとより、苦情件数がそのまま不祥事件数を意味するわけではないが、不祥事が伴わないとしても市民と弁護士の間には多くのトラブルが生じうること、そして、その教訓を生かし切れずに苦情等の申出を繰り返し受けた会員に不祥事に足を踏み入れる者が多くいることは肝に銘じるべきである。</w:t>
      </w:r>
    </w:p>
    <w:p w:rsidR="00233C86" w:rsidRPr="00203CC2" w:rsidRDefault="00233C86" w:rsidP="0019289E">
      <w:pPr>
        <w:spacing w:line="240" w:lineRule="auto"/>
        <w:ind w:left="445" w:hangingChars="200" w:hanging="445"/>
        <w:rPr>
          <w:rFonts w:ascii="ＭＳ 明朝" w:eastAsia="ＭＳ 明朝" w:hAnsi="ＭＳ 明朝" w:hint="eastAsia"/>
        </w:rPr>
      </w:pPr>
      <w:r w:rsidRPr="00203CC2">
        <w:rPr>
          <w:rFonts w:ascii="ＭＳ 明朝" w:eastAsia="ＭＳ 明朝" w:hAnsi="ＭＳ 明朝" w:hint="eastAsia"/>
        </w:rPr>
        <w:t xml:space="preserve">　　</w:t>
      </w:r>
      <w:r w:rsidR="0019289E" w:rsidRPr="00203CC2">
        <w:rPr>
          <w:rFonts w:ascii="ＭＳ 明朝" w:eastAsia="ＭＳ 明朝" w:hAnsi="ＭＳ 明朝" w:hint="eastAsia"/>
        </w:rPr>
        <w:t xml:space="preserve">　</w:t>
      </w:r>
      <w:r w:rsidRPr="00203CC2">
        <w:rPr>
          <w:rFonts w:ascii="ＭＳ 明朝" w:eastAsia="ＭＳ 明朝" w:hAnsi="ＭＳ 明朝" w:hint="eastAsia"/>
        </w:rPr>
        <w:t>市民窓口に集まる苦情等の情報は、差し迫った不祥事の防止策として活用されるべきであるとともに、将来の不祥事発生抑止のための教訓としても活用されるべきである。そのためには、市民窓口データを倫理研修において積極的に活用すべきである。</w:t>
      </w:r>
    </w:p>
    <w:p w:rsidR="00233C86" w:rsidRPr="00203CC2" w:rsidRDefault="00233C86" w:rsidP="0019289E">
      <w:pPr>
        <w:spacing w:line="240" w:lineRule="auto"/>
        <w:rPr>
          <w:rFonts w:ascii="ＭＳ 明朝" w:eastAsia="ＭＳ 明朝" w:hAnsi="ＭＳ 明朝" w:hint="eastAsia"/>
          <w:b/>
          <w:sz w:val="24"/>
          <w:szCs w:val="24"/>
        </w:rPr>
      </w:pPr>
      <w:r w:rsidRPr="00203CC2">
        <w:rPr>
          <w:rFonts w:ascii="ＭＳ 明朝" w:eastAsia="ＭＳ 明朝" w:hAnsi="ＭＳ 明朝" w:hint="eastAsia"/>
          <w:b/>
          <w:sz w:val="24"/>
          <w:szCs w:val="24"/>
        </w:rPr>
        <w:t>（８）結び</w:t>
      </w:r>
    </w:p>
    <w:p w:rsidR="00233C86" w:rsidRPr="00203CC2" w:rsidRDefault="00233C86" w:rsidP="0019289E">
      <w:pPr>
        <w:spacing w:line="240" w:lineRule="auto"/>
        <w:ind w:leftChars="200" w:left="445" w:firstLineChars="100" w:firstLine="222"/>
        <w:rPr>
          <w:rFonts w:ascii="ＭＳ 明朝" w:eastAsia="ＭＳ 明朝" w:hAnsi="ＭＳ 明朝" w:hint="eastAsia"/>
        </w:rPr>
      </w:pPr>
      <w:r w:rsidRPr="00203CC2">
        <w:rPr>
          <w:rFonts w:ascii="ＭＳ 明朝" w:eastAsia="ＭＳ 明朝" w:hAnsi="ＭＳ 明朝" w:hint="eastAsia"/>
        </w:rPr>
        <w:t>東弁の市民窓口は、相談担当弁護士向けのマニュアル作成、苦情処理結果のデータベー</w:t>
      </w:r>
      <w:r w:rsidRPr="00203CC2">
        <w:rPr>
          <w:rFonts w:ascii="ＭＳ 明朝" w:eastAsia="ＭＳ 明朝" w:hAnsi="ＭＳ 明朝" w:hint="eastAsia"/>
        </w:rPr>
        <w:lastRenderedPageBreak/>
        <w:t>ス化、会長指名による苦情調査の実施及び不祥事関連委員会の連絡協議会の実施等、日弁連に先んじて不祥事対策に取り組み、その成果の情報提供をしてきた。今後とも、日弁連の活動をリードする気構えで積極的な活動と情報提供を継続していくことが肝要である。</w:t>
      </w:r>
    </w:p>
    <w:p w:rsidR="00233C86" w:rsidRPr="00203CC2" w:rsidRDefault="00233C86" w:rsidP="0019289E">
      <w:pPr>
        <w:pStyle w:val="a5"/>
        <w:spacing w:line="240" w:lineRule="auto"/>
        <w:rPr>
          <w:rFonts w:ascii="ＭＳ 明朝" w:eastAsia="ＭＳ 明朝" w:hAnsi="ＭＳ 明朝"/>
        </w:rPr>
      </w:pPr>
      <w:r w:rsidRPr="00203CC2">
        <w:rPr>
          <w:rFonts w:ascii="ＭＳ 明朝" w:eastAsia="ＭＳ 明朝" w:hAnsi="ＭＳ 明朝" w:hint="eastAsia"/>
        </w:rPr>
        <w:t>以　上</w:t>
      </w:r>
    </w:p>
    <w:p w:rsidR="0085678E" w:rsidRPr="00203CC2" w:rsidRDefault="0085678E" w:rsidP="0019289E">
      <w:pPr>
        <w:spacing w:line="240" w:lineRule="auto"/>
        <w:rPr>
          <w:rFonts w:ascii="ＭＳ 明朝" w:eastAsia="ＭＳ 明朝" w:hAnsi="ＭＳ 明朝" w:hint="eastAsia"/>
        </w:rPr>
      </w:pPr>
    </w:p>
    <w:sectPr w:rsidR="0085678E" w:rsidRPr="00203CC2" w:rsidSect="0019289E">
      <w:footerReference w:type="first" r:id="rId7"/>
      <w:type w:val="nextColumn"/>
      <w:pgSz w:w="11905" w:h="16837" w:code="9"/>
      <w:pgMar w:top="1418" w:right="1134" w:bottom="1134" w:left="1429" w:header="142" w:footer="142" w:gutter="0"/>
      <w:cols w:space="720"/>
      <w:docGrid w:type="linesAndChars" w:linePitch="375" w:charSpace="-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CC2" w:rsidRDefault="00203CC2">
      <w:pPr>
        <w:spacing w:line="240" w:lineRule="auto"/>
      </w:pPr>
      <w:r>
        <w:separator/>
      </w:r>
    </w:p>
  </w:endnote>
  <w:endnote w:type="continuationSeparator" w:id="0">
    <w:p w:rsidR="00203CC2" w:rsidRDefault="00203C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CC2" w:rsidRDefault="00203CC2">
      <w:pPr>
        <w:spacing w:line="240" w:lineRule="auto"/>
      </w:pPr>
      <w:r>
        <w:separator/>
      </w:r>
    </w:p>
  </w:footnote>
  <w:footnote w:type="continuationSeparator" w:id="0">
    <w:p w:rsidR="00203CC2" w:rsidRDefault="00203C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F34"/>
    <w:multiLevelType w:val="hybridMultilevel"/>
    <w:tmpl w:val="BDCCC2C2"/>
    <w:lvl w:ilvl="0" w:tplc="A5961486">
      <w:start w:val="1"/>
      <w:numFmt w:val="decimalEnclosedCircle"/>
      <w:lvlText w:val="%1"/>
      <w:lvlJc w:val="left"/>
      <w:pPr>
        <w:tabs>
          <w:tab w:val="num" w:pos="1282"/>
        </w:tabs>
        <w:ind w:left="1282" w:hanging="360"/>
      </w:pPr>
      <w:rPr>
        <w:rFonts w:hint="default"/>
      </w:rPr>
    </w:lvl>
    <w:lvl w:ilvl="1" w:tplc="04090017" w:tentative="1">
      <w:start w:val="1"/>
      <w:numFmt w:val="aiueoFullWidth"/>
      <w:lvlText w:val="(%2)"/>
      <w:lvlJc w:val="left"/>
      <w:pPr>
        <w:tabs>
          <w:tab w:val="num" w:pos="1762"/>
        </w:tabs>
        <w:ind w:left="1762" w:hanging="420"/>
      </w:pPr>
    </w:lvl>
    <w:lvl w:ilvl="2" w:tplc="04090011" w:tentative="1">
      <w:start w:val="1"/>
      <w:numFmt w:val="decimalEnclosedCircle"/>
      <w:lvlText w:val="%3"/>
      <w:lvlJc w:val="left"/>
      <w:pPr>
        <w:tabs>
          <w:tab w:val="num" w:pos="2182"/>
        </w:tabs>
        <w:ind w:left="2182" w:hanging="420"/>
      </w:pPr>
    </w:lvl>
    <w:lvl w:ilvl="3" w:tplc="0409000F" w:tentative="1">
      <w:start w:val="1"/>
      <w:numFmt w:val="decimal"/>
      <w:lvlText w:val="%4."/>
      <w:lvlJc w:val="left"/>
      <w:pPr>
        <w:tabs>
          <w:tab w:val="num" w:pos="2602"/>
        </w:tabs>
        <w:ind w:left="2602" w:hanging="420"/>
      </w:pPr>
    </w:lvl>
    <w:lvl w:ilvl="4" w:tplc="04090017" w:tentative="1">
      <w:start w:val="1"/>
      <w:numFmt w:val="aiueoFullWidth"/>
      <w:lvlText w:val="(%5)"/>
      <w:lvlJc w:val="left"/>
      <w:pPr>
        <w:tabs>
          <w:tab w:val="num" w:pos="3022"/>
        </w:tabs>
        <w:ind w:left="3022" w:hanging="420"/>
      </w:pPr>
    </w:lvl>
    <w:lvl w:ilvl="5" w:tplc="04090011" w:tentative="1">
      <w:start w:val="1"/>
      <w:numFmt w:val="decimalEnclosedCircle"/>
      <w:lvlText w:val="%6"/>
      <w:lvlJc w:val="left"/>
      <w:pPr>
        <w:tabs>
          <w:tab w:val="num" w:pos="3442"/>
        </w:tabs>
        <w:ind w:left="3442" w:hanging="420"/>
      </w:pPr>
    </w:lvl>
    <w:lvl w:ilvl="6" w:tplc="0409000F" w:tentative="1">
      <w:start w:val="1"/>
      <w:numFmt w:val="decimal"/>
      <w:lvlText w:val="%7."/>
      <w:lvlJc w:val="left"/>
      <w:pPr>
        <w:tabs>
          <w:tab w:val="num" w:pos="3862"/>
        </w:tabs>
        <w:ind w:left="3862" w:hanging="420"/>
      </w:pPr>
    </w:lvl>
    <w:lvl w:ilvl="7" w:tplc="04090017" w:tentative="1">
      <w:start w:val="1"/>
      <w:numFmt w:val="aiueoFullWidth"/>
      <w:lvlText w:val="(%8)"/>
      <w:lvlJc w:val="left"/>
      <w:pPr>
        <w:tabs>
          <w:tab w:val="num" w:pos="4282"/>
        </w:tabs>
        <w:ind w:left="4282" w:hanging="420"/>
      </w:pPr>
    </w:lvl>
    <w:lvl w:ilvl="8" w:tplc="04090011" w:tentative="1">
      <w:start w:val="1"/>
      <w:numFmt w:val="decimalEnclosedCircle"/>
      <w:lvlText w:val="%9"/>
      <w:lvlJc w:val="left"/>
      <w:pPr>
        <w:tabs>
          <w:tab w:val="num" w:pos="4702"/>
        </w:tabs>
        <w:ind w:left="4702" w:hanging="420"/>
      </w:pPr>
    </w:lvl>
  </w:abstractNum>
  <w:abstractNum w:abstractNumId="1" w15:restartNumberingAfterBreak="0">
    <w:nsid w:val="3F0D1187"/>
    <w:multiLevelType w:val="hybridMultilevel"/>
    <w:tmpl w:val="A0A2E54C"/>
    <w:lvl w:ilvl="0" w:tplc="A78C1B5A">
      <w:start w:val="1"/>
      <w:numFmt w:val="decimalEnclosedCircle"/>
      <w:lvlText w:val="%1"/>
      <w:lvlJc w:val="left"/>
      <w:pPr>
        <w:tabs>
          <w:tab w:val="num" w:pos="1387"/>
        </w:tabs>
        <w:ind w:left="1387" w:hanging="495"/>
      </w:pPr>
      <w:rPr>
        <w:rFonts w:hint="default"/>
      </w:rPr>
    </w:lvl>
    <w:lvl w:ilvl="1" w:tplc="04090017" w:tentative="1">
      <w:start w:val="1"/>
      <w:numFmt w:val="aiueoFullWidth"/>
      <w:lvlText w:val="(%2)"/>
      <w:lvlJc w:val="left"/>
      <w:pPr>
        <w:tabs>
          <w:tab w:val="num" w:pos="1732"/>
        </w:tabs>
        <w:ind w:left="1732" w:hanging="420"/>
      </w:pPr>
    </w:lvl>
    <w:lvl w:ilvl="2" w:tplc="04090011" w:tentative="1">
      <w:start w:val="1"/>
      <w:numFmt w:val="decimalEnclosedCircle"/>
      <w:lvlText w:val="%3"/>
      <w:lvlJc w:val="left"/>
      <w:pPr>
        <w:tabs>
          <w:tab w:val="num" w:pos="2152"/>
        </w:tabs>
        <w:ind w:left="2152" w:hanging="420"/>
      </w:pPr>
    </w:lvl>
    <w:lvl w:ilvl="3" w:tplc="0409000F" w:tentative="1">
      <w:start w:val="1"/>
      <w:numFmt w:val="decimal"/>
      <w:lvlText w:val="%4."/>
      <w:lvlJc w:val="left"/>
      <w:pPr>
        <w:tabs>
          <w:tab w:val="num" w:pos="2572"/>
        </w:tabs>
        <w:ind w:left="2572" w:hanging="420"/>
      </w:pPr>
    </w:lvl>
    <w:lvl w:ilvl="4" w:tplc="04090017" w:tentative="1">
      <w:start w:val="1"/>
      <w:numFmt w:val="aiueoFullWidth"/>
      <w:lvlText w:val="(%5)"/>
      <w:lvlJc w:val="left"/>
      <w:pPr>
        <w:tabs>
          <w:tab w:val="num" w:pos="2992"/>
        </w:tabs>
        <w:ind w:left="2992" w:hanging="420"/>
      </w:pPr>
    </w:lvl>
    <w:lvl w:ilvl="5" w:tplc="04090011" w:tentative="1">
      <w:start w:val="1"/>
      <w:numFmt w:val="decimalEnclosedCircle"/>
      <w:lvlText w:val="%6"/>
      <w:lvlJc w:val="left"/>
      <w:pPr>
        <w:tabs>
          <w:tab w:val="num" w:pos="3412"/>
        </w:tabs>
        <w:ind w:left="3412" w:hanging="420"/>
      </w:pPr>
    </w:lvl>
    <w:lvl w:ilvl="6" w:tplc="0409000F" w:tentative="1">
      <w:start w:val="1"/>
      <w:numFmt w:val="decimal"/>
      <w:lvlText w:val="%7."/>
      <w:lvlJc w:val="left"/>
      <w:pPr>
        <w:tabs>
          <w:tab w:val="num" w:pos="3832"/>
        </w:tabs>
        <w:ind w:left="3832" w:hanging="420"/>
      </w:pPr>
    </w:lvl>
    <w:lvl w:ilvl="7" w:tplc="04090017" w:tentative="1">
      <w:start w:val="1"/>
      <w:numFmt w:val="aiueoFullWidth"/>
      <w:lvlText w:val="(%8)"/>
      <w:lvlJc w:val="left"/>
      <w:pPr>
        <w:tabs>
          <w:tab w:val="num" w:pos="4252"/>
        </w:tabs>
        <w:ind w:left="4252" w:hanging="420"/>
      </w:pPr>
    </w:lvl>
    <w:lvl w:ilvl="8" w:tplc="04090011" w:tentative="1">
      <w:start w:val="1"/>
      <w:numFmt w:val="decimalEnclosedCircle"/>
      <w:lvlText w:val="%9"/>
      <w:lvlJc w:val="left"/>
      <w:pPr>
        <w:tabs>
          <w:tab w:val="num" w:pos="4672"/>
        </w:tabs>
        <w:ind w:left="4672" w:hanging="420"/>
      </w:pPr>
    </w:lvl>
  </w:abstractNum>
  <w:abstractNum w:abstractNumId="2" w15:restartNumberingAfterBreak="0">
    <w:nsid w:val="40594CB5"/>
    <w:multiLevelType w:val="hybridMultilevel"/>
    <w:tmpl w:val="F89C43CA"/>
    <w:lvl w:ilvl="0" w:tplc="04022774">
      <w:start w:val="1"/>
      <w:numFmt w:val="decimalEnclosedCircle"/>
      <w:lvlText w:val="%1"/>
      <w:lvlJc w:val="left"/>
      <w:pPr>
        <w:tabs>
          <w:tab w:val="num" w:pos="1263"/>
        </w:tabs>
        <w:ind w:left="1263" w:hanging="495"/>
      </w:pPr>
      <w:rPr>
        <w:rFonts w:hint="default"/>
      </w:rPr>
    </w:lvl>
    <w:lvl w:ilvl="1" w:tplc="04090017" w:tentative="1">
      <w:start w:val="1"/>
      <w:numFmt w:val="aiueoFullWidth"/>
      <w:lvlText w:val="(%2)"/>
      <w:lvlJc w:val="left"/>
      <w:pPr>
        <w:tabs>
          <w:tab w:val="num" w:pos="1608"/>
        </w:tabs>
        <w:ind w:left="1608" w:hanging="420"/>
      </w:pPr>
    </w:lvl>
    <w:lvl w:ilvl="2" w:tplc="04090011" w:tentative="1">
      <w:start w:val="1"/>
      <w:numFmt w:val="decimalEnclosedCircle"/>
      <w:lvlText w:val="%3"/>
      <w:lvlJc w:val="left"/>
      <w:pPr>
        <w:tabs>
          <w:tab w:val="num" w:pos="2028"/>
        </w:tabs>
        <w:ind w:left="2028" w:hanging="420"/>
      </w:pPr>
    </w:lvl>
    <w:lvl w:ilvl="3" w:tplc="0409000F" w:tentative="1">
      <w:start w:val="1"/>
      <w:numFmt w:val="decimal"/>
      <w:lvlText w:val="%4."/>
      <w:lvlJc w:val="left"/>
      <w:pPr>
        <w:tabs>
          <w:tab w:val="num" w:pos="2448"/>
        </w:tabs>
        <w:ind w:left="2448" w:hanging="420"/>
      </w:pPr>
    </w:lvl>
    <w:lvl w:ilvl="4" w:tplc="04090017" w:tentative="1">
      <w:start w:val="1"/>
      <w:numFmt w:val="aiueoFullWidth"/>
      <w:lvlText w:val="(%5)"/>
      <w:lvlJc w:val="left"/>
      <w:pPr>
        <w:tabs>
          <w:tab w:val="num" w:pos="2868"/>
        </w:tabs>
        <w:ind w:left="2868" w:hanging="420"/>
      </w:pPr>
    </w:lvl>
    <w:lvl w:ilvl="5" w:tplc="04090011" w:tentative="1">
      <w:start w:val="1"/>
      <w:numFmt w:val="decimalEnclosedCircle"/>
      <w:lvlText w:val="%6"/>
      <w:lvlJc w:val="left"/>
      <w:pPr>
        <w:tabs>
          <w:tab w:val="num" w:pos="3288"/>
        </w:tabs>
        <w:ind w:left="3288" w:hanging="420"/>
      </w:pPr>
    </w:lvl>
    <w:lvl w:ilvl="6" w:tplc="0409000F" w:tentative="1">
      <w:start w:val="1"/>
      <w:numFmt w:val="decimal"/>
      <w:lvlText w:val="%7."/>
      <w:lvlJc w:val="left"/>
      <w:pPr>
        <w:tabs>
          <w:tab w:val="num" w:pos="3708"/>
        </w:tabs>
        <w:ind w:left="3708" w:hanging="420"/>
      </w:pPr>
    </w:lvl>
    <w:lvl w:ilvl="7" w:tplc="04090017" w:tentative="1">
      <w:start w:val="1"/>
      <w:numFmt w:val="aiueoFullWidth"/>
      <w:lvlText w:val="(%8)"/>
      <w:lvlJc w:val="left"/>
      <w:pPr>
        <w:tabs>
          <w:tab w:val="num" w:pos="4128"/>
        </w:tabs>
        <w:ind w:left="4128" w:hanging="420"/>
      </w:pPr>
    </w:lvl>
    <w:lvl w:ilvl="8" w:tplc="04090011" w:tentative="1">
      <w:start w:val="1"/>
      <w:numFmt w:val="decimalEnclosedCircle"/>
      <w:lvlText w:val="%9"/>
      <w:lvlJc w:val="left"/>
      <w:pPr>
        <w:tabs>
          <w:tab w:val="num" w:pos="4548"/>
        </w:tabs>
        <w:ind w:left="4548"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111"/>
  <w:drawingGridVerticalSpacing w:val="375"/>
  <w:displayHorizontalDrawingGridEvery w:val="0"/>
  <w:doNotShadeFormData/>
  <w:characterSpacingControl w:val="doNotCompress"/>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0011"/>
    <w:rsid w:val="0001710E"/>
    <w:rsid w:val="0002062A"/>
    <w:rsid w:val="00025BC0"/>
    <w:rsid w:val="000261F4"/>
    <w:rsid w:val="00032078"/>
    <w:rsid w:val="00042C00"/>
    <w:rsid w:val="00042D66"/>
    <w:rsid w:val="00075654"/>
    <w:rsid w:val="00076402"/>
    <w:rsid w:val="00092FBD"/>
    <w:rsid w:val="000D028E"/>
    <w:rsid w:val="000D393C"/>
    <w:rsid w:val="000D4D6B"/>
    <w:rsid w:val="000E1096"/>
    <w:rsid w:val="000E6ECD"/>
    <w:rsid w:val="001264C6"/>
    <w:rsid w:val="00152B18"/>
    <w:rsid w:val="00176EFB"/>
    <w:rsid w:val="00181EBC"/>
    <w:rsid w:val="00192427"/>
    <w:rsid w:val="0019289E"/>
    <w:rsid w:val="001D0D46"/>
    <w:rsid w:val="001E0DD7"/>
    <w:rsid w:val="001F5DE8"/>
    <w:rsid w:val="001F7EA0"/>
    <w:rsid w:val="00203CC2"/>
    <w:rsid w:val="002133A7"/>
    <w:rsid w:val="002149D1"/>
    <w:rsid w:val="00220CF5"/>
    <w:rsid w:val="00225313"/>
    <w:rsid w:val="002267F0"/>
    <w:rsid w:val="00233C86"/>
    <w:rsid w:val="00254179"/>
    <w:rsid w:val="002618D0"/>
    <w:rsid w:val="00267A48"/>
    <w:rsid w:val="00275A5E"/>
    <w:rsid w:val="00290824"/>
    <w:rsid w:val="002A4671"/>
    <w:rsid w:val="002B54F6"/>
    <w:rsid w:val="002C3142"/>
    <w:rsid w:val="002D3421"/>
    <w:rsid w:val="002F6B4C"/>
    <w:rsid w:val="00306051"/>
    <w:rsid w:val="00311A52"/>
    <w:rsid w:val="0034030A"/>
    <w:rsid w:val="0037127A"/>
    <w:rsid w:val="00375305"/>
    <w:rsid w:val="00375E3D"/>
    <w:rsid w:val="00391E0C"/>
    <w:rsid w:val="003A336E"/>
    <w:rsid w:val="003B0011"/>
    <w:rsid w:val="003D249F"/>
    <w:rsid w:val="003D409B"/>
    <w:rsid w:val="0042511C"/>
    <w:rsid w:val="00444024"/>
    <w:rsid w:val="00480FFE"/>
    <w:rsid w:val="00484028"/>
    <w:rsid w:val="00486C50"/>
    <w:rsid w:val="004A1ABF"/>
    <w:rsid w:val="004A3AD6"/>
    <w:rsid w:val="004C5755"/>
    <w:rsid w:val="004D3213"/>
    <w:rsid w:val="00500C94"/>
    <w:rsid w:val="005113B8"/>
    <w:rsid w:val="00511437"/>
    <w:rsid w:val="00511888"/>
    <w:rsid w:val="00541620"/>
    <w:rsid w:val="005677AF"/>
    <w:rsid w:val="00584581"/>
    <w:rsid w:val="0059644C"/>
    <w:rsid w:val="005A61C1"/>
    <w:rsid w:val="005B785F"/>
    <w:rsid w:val="005D648D"/>
    <w:rsid w:val="005D6D28"/>
    <w:rsid w:val="005F50DE"/>
    <w:rsid w:val="005F5C53"/>
    <w:rsid w:val="005F6889"/>
    <w:rsid w:val="005F68FF"/>
    <w:rsid w:val="005F742C"/>
    <w:rsid w:val="00607CB2"/>
    <w:rsid w:val="0062064E"/>
    <w:rsid w:val="0063756B"/>
    <w:rsid w:val="00644B0E"/>
    <w:rsid w:val="00645FFC"/>
    <w:rsid w:val="00647AC4"/>
    <w:rsid w:val="00655509"/>
    <w:rsid w:val="00657DF3"/>
    <w:rsid w:val="006772C6"/>
    <w:rsid w:val="0068264F"/>
    <w:rsid w:val="006B1816"/>
    <w:rsid w:val="006B2119"/>
    <w:rsid w:val="006D1C46"/>
    <w:rsid w:val="006E62CF"/>
    <w:rsid w:val="006E6864"/>
    <w:rsid w:val="006F54EB"/>
    <w:rsid w:val="007007A7"/>
    <w:rsid w:val="00722F14"/>
    <w:rsid w:val="00725488"/>
    <w:rsid w:val="00737A55"/>
    <w:rsid w:val="007538E6"/>
    <w:rsid w:val="00762966"/>
    <w:rsid w:val="00762C8D"/>
    <w:rsid w:val="00786A2C"/>
    <w:rsid w:val="007B0630"/>
    <w:rsid w:val="007C3964"/>
    <w:rsid w:val="0080078C"/>
    <w:rsid w:val="0080422D"/>
    <w:rsid w:val="008074D7"/>
    <w:rsid w:val="008208B4"/>
    <w:rsid w:val="00826781"/>
    <w:rsid w:val="0085678E"/>
    <w:rsid w:val="00861DE4"/>
    <w:rsid w:val="00865C9B"/>
    <w:rsid w:val="0087372B"/>
    <w:rsid w:val="00886E04"/>
    <w:rsid w:val="008A1E71"/>
    <w:rsid w:val="008B5461"/>
    <w:rsid w:val="008B5F2C"/>
    <w:rsid w:val="009056CC"/>
    <w:rsid w:val="00911C4F"/>
    <w:rsid w:val="00917553"/>
    <w:rsid w:val="00922423"/>
    <w:rsid w:val="009332DB"/>
    <w:rsid w:val="00934ED3"/>
    <w:rsid w:val="00947287"/>
    <w:rsid w:val="00952AF7"/>
    <w:rsid w:val="0096615F"/>
    <w:rsid w:val="0097776B"/>
    <w:rsid w:val="00982DE2"/>
    <w:rsid w:val="00984F3F"/>
    <w:rsid w:val="009912B2"/>
    <w:rsid w:val="009E131C"/>
    <w:rsid w:val="00A12443"/>
    <w:rsid w:val="00A20DA7"/>
    <w:rsid w:val="00A22EE9"/>
    <w:rsid w:val="00A54560"/>
    <w:rsid w:val="00A6470F"/>
    <w:rsid w:val="00A657A1"/>
    <w:rsid w:val="00A66A2F"/>
    <w:rsid w:val="00A7457B"/>
    <w:rsid w:val="00A8300F"/>
    <w:rsid w:val="00A85F19"/>
    <w:rsid w:val="00A902FA"/>
    <w:rsid w:val="00AA26B5"/>
    <w:rsid w:val="00AA4BA9"/>
    <w:rsid w:val="00AC6A10"/>
    <w:rsid w:val="00AF4947"/>
    <w:rsid w:val="00B108D0"/>
    <w:rsid w:val="00B238C4"/>
    <w:rsid w:val="00B43982"/>
    <w:rsid w:val="00B60A94"/>
    <w:rsid w:val="00B6294F"/>
    <w:rsid w:val="00B82664"/>
    <w:rsid w:val="00B936EE"/>
    <w:rsid w:val="00BC0CF0"/>
    <w:rsid w:val="00BE1DB0"/>
    <w:rsid w:val="00BE43FD"/>
    <w:rsid w:val="00C029AF"/>
    <w:rsid w:val="00C20E73"/>
    <w:rsid w:val="00C31E5A"/>
    <w:rsid w:val="00C4780B"/>
    <w:rsid w:val="00C571D6"/>
    <w:rsid w:val="00C81223"/>
    <w:rsid w:val="00C82148"/>
    <w:rsid w:val="00C825B3"/>
    <w:rsid w:val="00CC0AE6"/>
    <w:rsid w:val="00CC7522"/>
    <w:rsid w:val="00CD1258"/>
    <w:rsid w:val="00CE5016"/>
    <w:rsid w:val="00CF0A88"/>
    <w:rsid w:val="00D043A9"/>
    <w:rsid w:val="00D07ABE"/>
    <w:rsid w:val="00D1057D"/>
    <w:rsid w:val="00D149CB"/>
    <w:rsid w:val="00D2074C"/>
    <w:rsid w:val="00D2381B"/>
    <w:rsid w:val="00D55314"/>
    <w:rsid w:val="00D60A58"/>
    <w:rsid w:val="00D644BF"/>
    <w:rsid w:val="00D66952"/>
    <w:rsid w:val="00D837A4"/>
    <w:rsid w:val="00D85014"/>
    <w:rsid w:val="00DB5AF7"/>
    <w:rsid w:val="00DF48FA"/>
    <w:rsid w:val="00E072F8"/>
    <w:rsid w:val="00E127AA"/>
    <w:rsid w:val="00E13DFC"/>
    <w:rsid w:val="00E35E53"/>
    <w:rsid w:val="00E40F89"/>
    <w:rsid w:val="00E604BE"/>
    <w:rsid w:val="00E61B5F"/>
    <w:rsid w:val="00E62409"/>
    <w:rsid w:val="00E62D65"/>
    <w:rsid w:val="00E7628D"/>
    <w:rsid w:val="00E8385D"/>
    <w:rsid w:val="00EA1AB3"/>
    <w:rsid w:val="00EA4B9B"/>
    <w:rsid w:val="00EE7EA6"/>
    <w:rsid w:val="00F014C9"/>
    <w:rsid w:val="00F178C9"/>
    <w:rsid w:val="00F373BA"/>
    <w:rsid w:val="00F50ABB"/>
    <w:rsid w:val="00F55217"/>
    <w:rsid w:val="00F874ED"/>
    <w:rsid w:val="00FB4DCD"/>
    <w:rsid w:val="00FC6C6B"/>
    <w:rsid w:val="00FD2A9A"/>
    <w:rsid w:val="00FF7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7F0C329-E5F7-4405-BFA0-7D2E70F6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89E"/>
    <w:pPr>
      <w:widowControl w:val="0"/>
      <w:autoSpaceDE w:val="0"/>
      <w:autoSpaceDN w:val="0"/>
      <w:spacing w:line="504" w:lineRule="atLeast"/>
      <w:jc w:val="both"/>
    </w:pPr>
    <w:rPr>
      <w:spacing w:val="7"/>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BE1DB0"/>
  </w:style>
  <w:style w:type="paragraph" w:styleId="a4">
    <w:name w:val="Note Heading"/>
    <w:basedOn w:val="a"/>
    <w:next w:val="a"/>
    <w:rsid w:val="005F742C"/>
    <w:pPr>
      <w:jc w:val="center"/>
    </w:pPr>
  </w:style>
  <w:style w:type="paragraph" w:styleId="a5">
    <w:name w:val="Closing"/>
    <w:basedOn w:val="a"/>
    <w:link w:val="a6"/>
    <w:uiPriority w:val="99"/>
    <w:rsid w:val="005F742C"/>
    <w:pPr>
      <w:jc w:val="right"/>
    </w:pPr>
  </w:style>
  <w:style w:type="paragraph" w:styleId="a7">
    <w:name w:val="header"/>
    <w:basedOn w:val="a"/>
    <w:link w:val="a8"/>
    <w:uiPriority w:val="99"/>
    <w:unhideWhenUsed/>
    <w:rsid w:val="004D3213"/>
    <w:pPr>
      <w:tabs>
        <w:tab w:val="center" w:pos="4252"/>
        <w:tab w:val="right" w:pos="8504"/>
      </w:tabs>
      <w:snapToGrid w:val="0"/>
    </w:pPr>
  </w:style>
  <w:style w:type="character" w:customStyle="1" w:styleId="a8">
    <w:name w:val="ヘッダー (文字)"/>
    <w:link w:val="a7"/>
    <w:uiPriority w:val="99"/>
    <w:rsid w:val="004D3213"/>
    <w:rPr>
      <w:spacing w:val="7"/>
      <w:sz w:val="24"/>
    </w:rPr>
  </w:style>
  <w:style w:type="paragraph" w:styleId="a9">
    <w:name w:val="footer"/>
    <w:basedOn w:val="a"/>
    <w:link w:val="aa"/>
    <w:uiPriority w:val="99"/>
    <w:unhideWhenUsed/>
    <w:rsid w:val="004D3213"/>
    <w:pPr>
      <w:tabs>
        <w:tab w:val="center" w:pos="4252"/>
        <w:tab w:val="right" w:pos="8504"/>
      </w:tabs>
      <w:snapToGrid w:val="0"/>
    </w:pPr>
  </w:style>
  <w:style w:type="character" w:customStyle="1" w:styleId="aa">
    <w:name w:val="フッター (文字)"/>
    <w:link w:val="a9"/>
    <w:uiPriority w:val="99"/>
    <w:rsid w:val="004D3213"/>
    <w:rPr>
      <w:spacing w:val="7"/>
      <w:sz w:val="24"/>
    </w:rPr>
  </w:style>
  <w:style w:type="paragraph" w:styleId="ab">
    <w:name w:val="Balloon Text"/>
    <w:basedOn w:val="a"/>
    <w:link w:val="ac"/>
    <w:uiPriority w:val="99"/>
    <w:semiHidden/>
    <w:unhideWhenUsed/>
    <w:rsid w:val="00B936EE"/>
    <w:pPr>
      <w:spacing w:line="240" w:lineRule="auto"/>
    </w:pPr>
    <w:rPr>
      <w:rFonts w:ascii="Arial" w:eastAsia="ＭＳ ゴシック" w:hAnsi="Arial"/>
      <w:sz w:val="18"/>
      <w:szCs w:val="18"/>
    </w:rPr>
  </w:style>
  <w:style w:type="character" w:customStyle="1" w:styleId="ac">
    <w:name w:val="吹き出し (文字)"/>
    <w:link w:val="ab"/>
    <w:uiPriority w:val="99"/>
    <w:semiHidden/>
    <w:rsid w:val="00B936EE"/>
    <w:rPr>
      <w:rFonts w:ascii="Arial" w:eastAsia="ＭＳ ゴシック" w:hAnsi="Arial" w:cs="Times New Roman"/>
      <w:spacing w:val="7"/>
      <w:sz w:val="18"/>
      <w:szCs w:val="18"/>
    </w:rPr>
  </w:style>
  <w:style w:type="character" w:customStyle="1" w:styleId="a6">
    <w:name w:val="結語 (文字)"/>
    <w:link w:val="a5"/>
    <w:uiPriority w:val="99"/>
    <w:rsid w:val="00233C86"/>
    <w:rPr>
      <w:spacing w:val="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2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2325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ＦＡＸ送信書</vt:lpstr>
      <vt:lpstr>ＦＡＸ送信書</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ＦＡＸ送信書</dc:title>
  <dc:subject/>
  <dc:creator>PC01</dc:creator>
  <cp:keywords/>
  <cp:lastModifiedBy>小野寺 淳</cp:lastModifiedBy>
  <cp:revision>2</cp:revision>
  <cp:lastPrinted>2014-07-25T03:35:00Z</cp:lastPrinted>
  <dcterms:created xsi:type="dcterms:W3CDTF">2016-01-13T01:09:00Z</dcterms:created>
  <dcterms:modified xsi:type="dcterms:W3CDTF">2016-01-13T01:09:00Z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-462091795</vt:i4>
  </property>
</Properties>
</file>