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4E" w:rsidRPr="001B0E56" w:rsidRDefault="001B0E56" w:rsidP="001E744E">
      <w:pPr>
        <w:rPr>
          <w:rFonts w:ascii="ＭＳ 明朝" w:hAnsi="ＭＳ 明朝" w:hint="eastAsia"/>
          <w:b/>
          <w:sz w:val="24"/>
          <w:szCs w:val="24"/>
        </w:rPr>
      </w:pPr>
      <w:bookmarkStart w:id="0" w:name="_GoBack"/>
      <w:bookmarkEnd w:id="0"/>
      <w:r>
        <w:rPr>
          <w:rFonts w:ascii="ＭＳ 明朝" w:hAnsi="ＭＳ 明朝" w:hint="eastAsia"/>
          <w:b/>
          <w:sz w:val="24"/>
          <w:szCs w:val="24"/>
        </w:rPr>
        <w:t xml:space="preserve">３　</w:t>
      </w:r>
      <w:r w:rsidR="001E744E" w:rsidRPr="001B0E56">
        <w:rPr>
          <w:rFonts w:ascii="ＭＳ 明朝" w:hAnsi="ＭＳ 明朝" w:hint="eastAsia"/>
          <w:b/>
          <w:sz w:val="24"/>
          <w:szCs w:val="24"/>
        </w:rPr>
        <w:t>会財政の現状と課題</w:t>
      </w:r>
    </w:p>
    <w:p w:rsidR="001E744E" w:rsidRPr="001B0E56" w:rsidRDefault="001E744E" w:rsidP="00256667">
      <w:pPr>
        <w:rPr>
          <w:rFonts w:ascii="ＭＳ 明朝" w:hAnsi="ＭＳ 明朝" w:hint="eastAsia"/>
          <w:b/>
          <w:szCs w:val="21"/>
        </w:rPr>
      </w:pPr>
      <w:r w:rsidRPr="001B0E56">
        <w:rPr>
          <w:rFonts w:ascii="ＭＳ 明朝" w:hAnsi="ＭＳ 明朝" w:hint="eastAsia"/>
          <w:b/>
          <w:szCs w:val="21"/>
        </w:rPr>
        <w:t>（１）はじめに</w:t>
      </w:r>
    </w:p>
    <w:p w:rsidR="001E744E" w:rsidRPr="001E744E" w:rsidRDefault="001E744E" w:rsidP="001E744E">
      <w:pPr>
        <w:rPr>
          <w:rFonts w:ascii="ＭＳ 明朝" w:hAnsi="ＭＳ 明朝" w:hint="eastAsia"/>
          <w:szCs w:val="21"/>
        </w:rPr>
      </w:pPr>
      <w:r w:rsidRPr="001E744E">
        <w:rPr>
          <w:rFonts w:ascii="ＭＳ 明朝" w:hAnsi="ＭＳ 明朝" w:hint="eastAsia"/>
          <w:szCs w:val="21"/>
        </w:rPr>
        <w:t xml:space="preserve">　　</w:t>
      </w:r>
      <w:r w:rsidR="00256667">
        <w:rPr>
          <w:rFonts w:ascii="ＭＳ 明朝" w:hAnsi="ＭＳ 明朝" w:hint="eastAsia"/>
          <w:szCs w:val="21"/>
        </w:rPr>
        <w:t xml:space="preserve">　</w:t>
      </w:r>
      <w:r w:rsidRPr="001E744E">
        <w:rPr>
          <w:rFonts w:ascii="ＭＳ 明朝" w:hAnsi="ＭＳ 明朝" w:hint="eastAsia"/>
          <w:szCs w:val="21"/>
        </w:rPr>
        <w:t>会財政は、弁護士自治を財政面から支えるものである。</w:t>
      </w:r>
    </w:p>
    <w:p w:rsidR="001E744E" w:rsidRPr="001B0E56" w:rsidRDefault="001E744E" w:rsidP="00256667">
      <w:pPr>
        <w:rPr>
          <w:rFonts w:ascii="ＭＳ 明朝" w:hAnsi="ＭＳ 明朝" w:hint="eastAsia"/>
          <w:b/>
          <w:szCs w:val="21"/>
        </w:rPr>
      </w:pPr>
      <w:r w:rsidRPr="001B0E56">
        <w:rPr>
          <w:rFonts w:ascii="ＭＳ 明朝" w:hAnsi="ＭＳ 明朝" w:hint="eastAsia"/>
          <w:b/>
          <w:szCs w:val="21"/>
        </w:rPr>
        <w:t>（２）東弁の会計システム</w:t>
      </w:r>
    </w:p>
    <w:p w:rsidR="001E744E" w:rsidRPr="001E744E" w:rsidRDefault="001E744E" w:rsidP="00256667">
      <w:pPr>
        <w:ind w:left="445" w:hangingChars="200" w:hanging="445"/>
        <w:rPr>
          <w:rFonts w:ascii="ＭＳ 明朝" w:hAnsi="ＭＳ 明朝" w:hint="eastAsia"/>
          <w:szCs w:val="21"/>
        </w:rPr>
      </w:pPr>
      <w:r w:rsidRPr="001E744E">
        <w:rPr>
          <w:rFonts w:ascii="ＭＳ 明朝" w:hAnsi="ＭＳ 明朝" w:hint="eastAsia"/>
          <w:szCs w:val="21"/>
        </w:rPr>
        <w:t xml:space="preserve">　</w:t>
      </w:r>
      <w:r w:rsidR="00256667">
        <w:rPr>
          <w:rFonts w:ascii="ＭＳ 明朝" w:hAnsi="ＭＳ 明朝" w:hint="eastAsia"/>
          <w:szCs w:val="21"/>
        </w:rPr>
        <w:t xml:space="preserve">　　</w:t>
      </w:r>
      <w:r w:rsidRPr="001E744E">
        <w:rPr>
          <w:rFonts w:ascii="ＭＳ 明朝" w:hAnsi="ＭＳ 明朝" w:hint="eastAsia"/>
          <w:szCs w:val="21"/>
        </w:rPr>
        <w:t>当会の会計は、一般会計と</w:t>
      </w:r>
      <w:r>
        <w:rPr>
          <w:rFonts w:ascii="ＭＳ 明朝" w:hAnsi="ＭＳ 明朝" w:hint="eastAsia"/>
          <w:szCs w:val="21"/>
        </w:rPr>
        <w:t>5</w:t>
      </w:r>
      <w:r w:rsidRPr="001E744E">
        <w:rPr>
          <w:rFonts w:ascii="ＭＳ 明朝" w:hAnsi="ＭＳ 明朝" w:hint="eastAsia"/>
          <w:szCs w:val="21"/>
        </w:rPr>
        <w:t>つの特別会計（法律相談事業等特別会計・人権救済基金特別会計・会館特別会計・公設事務所運営基金特別会計・住宅紛争特別会計）から成り立っており、一般会計と各特別会計との間で繰り入れ・繰り出し（資金の移動）が可能であり、また固定資産たる特定資産の取り崩しは一般会計に組み込まれることになっている。</w:t>
      </w:r>
    </w:p>
    <w:p w:rsidR="001E744E" w:rsidRPr="001E744E" w:rsidRDefault="001E744E" w:rsidP="00256667">
      <w:pPr>
        <w:ind w:left="445" w:hangingChars="200" w:hanging="445"/>
        <w:rPr>
          <w:rFonts w:ascii="ＭＳ 明朝" w:hAnsi="ＭＳ 明朝" w:hint="eastAsia"/>
          <w:szCs w:val="21"/>
        </w:rPr>
      </w:pPr>
      <w:r w:rsidRPr="001E744E">
        <w:rPr>
          <w:rFonts w:ascii="ＭＳ 明朝" w:hAnsi="ＭＳ 明朝" w:hint="eastAsia"/>
          <w:szCs w:val="21"/>
        </w:rPr>
        <w:t xml:space="preserve">　　</w:t>
      </w:r>
      <w:r w:rsidR="00256667">
        <w:rPr>
          <w:rFonts w:ascii="ＭＳ 明朝" w:hAnsi="ＭＳ 明朝" w:hint="eastAsia"/>
          <w:szCs w:val="21"/>
        </w:rPr>
        <w:t xml:space="preserve">　</w:t>
      </w:r>
      <w:r w:rsidRPr="001E744E">
        <w:rPr>
          <w:rFonts w:ascii="ＭＳ 明朝" w:hAnsi="ＭＳ 明朝" w:hint="eastAsia"/>
          <w:szCs w:val="21"/>
        </w:rPr>
        <w:t>したがって、当会の財務状況は、単に</w:t>
      </w:r>
      <w:r>
        <w:rPr>
          <w:rFonts w:ascii="ＭＳ 明朝" w:hAnsi="ＭＳ 明朝" w:hint="eastAsia"/>
          <w:szCs w:val="21"/>
        </w:rPr>
        <w:t>1</w:t>
      </w:r>
      <w:r w:rsidRPr="001E744E">
        <w:rPr>
          <w:rFonts w:ascii="ＭＳ 明朝" w:hAnsi="ＭＳ 明朝" w:hint="eastAsia"/>
          <w:szCs w:val="21"/>
        </w:rPr>
        <w:t>つの会計を捉えただけでは正しく把握できず、</w:t>
      </w:r>
      <w:r w:rsidRPr="00870032">
        <w:rPr>
          <w:rFonts w:ascii="ＭＳ 明朝" w:hAnsi="ＭＳ 明朝" w:hint="eastAsia"/>
          <w:color w:val="000000"/>
          <w:szCs w:val="21"/>
        </w:rPr>
        <w:t>特別会計を含めた</w:t>
      </w:r>
      <w:r w:rsidRPr="001E744E">
        <w:rPr>
          <w:rFonts w:ascii="ＭＳ 明朝" w:hAnsi="ＭＳ 明朝" w:hint="eastAsia"/>
          <w:szCs w:val="21"/>
        </w:rPr>
        <w:t>財産全体の変動、特定資産の状況にも注視しなければならない。</w:t>
      </w:r>
    </w:p>
    <w:p w:rsidR="001E744E" w:rsidRPr="001B0E56" w:rsidRDefault="001E744E" w:rsidP="00256667">
      <w:pPr>
        <w:rPr>
          <w:rFonts w:ascii="ＭＳ 明朝" w:hAnsi="ＭＳ 明朝" w:hint="eastAsia"/>
          <w:b/>
          <w:szCs w:val="21"/>
        </w:rPr>
      </w:pPr>
      <w:r w:rsidRPr="001B0E56">
        <w:rPr>
          <w:rFonts w:ascii="ＭＳ 明朝" w:hAnsi="ＭＳ 明朝" w:hint="eastAsia"/>
          <w:b/>
          <w:szCs w:val="21"/>
        </w:rPr>
        <w:t>（３）東弁の財政状況</w:t>
      </w:r>
    </w:p>
    <w:p w:rsidR="001E744E" w:rsidRPr="001E744E" w:rsidRDefault="001E744E" w:rsidP="001E744E">
      <w:pPr>
        <w:rPr>
          <w:rFonts w:ascii="ＭＳ 明朝" w:hAnsi="ＭＳ 明朝" w:hint="eastAsia"/>
          <w:szCs w:val="21"/>
        </w:rPr>
      </w:pPr>
      <w:r w:rsidRPr="001E744E">
        <w:rPr>
          <w:rFonts w:ascii="ＭＳ 明朝" w:hAnsi="ＭＳ 明朝" w:hint="eastAsia"/>
          <w:szCs w:val="21"/>
        </w:rPr>
        <w:t xml:space="preserve">　</w:t>
      </w:r>
      <w:r w:rsidR="00256667">
        <w:rPr>
          <w:rFonts w:ascii="ＭＳ 明朝" w:hAnsi="ＭＳ 明朝" w:hint="eastAsia"/>
          <w:szCs w:val="21"/>
        </w:rPr>
        <w:t xml:space="preserve">　</w:t>
      </w:r>
      <w:r w:rsidRPr="001B0E56">
        <w:rPr>
          <w:rFonts w:ascii="ＭＳ 明朝" w:hAnsi="ＭＳ 明朝" w:hint="eastAsia"/>
          <w:b/>
          <w:sz w:val="24"/>
          <w:szCs w:val="24"/>
        </w:rPr>
        <w:t>①</w:t>
      </w:r>
      <w:r w:rsidRPr="001E744E">
        <w:rPr>
          <w:rFonts w:ascii="ＭＳ 明朝" w:hAnsi="ＭＳ 明朝" w:hint="eastAsia"/>
          <w:szCs w:val="21"/>
        </w:rPr>
        <w:t xml:space="preserve">　財産目録総括表によると、当会の正味財産は次のとおり推移している。</w:t>
      </w:r>
    </w:p>
    <w:p w:rsidR="001E744E" w:rsidRPr="001E744E" w:rsidRDefault="001E744E" w:rsidP="001E744E">
      <w:pPr>
        <w:rPr>
          <w:rFonts w:ascii="ＭＳ 明朝" w:hAnsi="ＭＳ 明朝" w:hint="eastAsia"/>
          <w:szCs w:val="21"/>
        </w:rPr>
      </w:pPr>
      <w:r w:rsidRPr="001E744E">
        <w:rPr>
          <w:rFonts w:ascii="ＭＳ 明朝" w:hAnsi="ＭＳ 明朝" w:hint="eastAsia"/>
          <w:szCs w:val="21"/>
        </w:rPr>
        <w:t xml:space="preserve">　　●正</w:t>
      </w:r>
      <w:r>
        <w:rPr>
          <w:rFonts w:ascii="ＭＳ 明朝" w:hAnsi="ＭＳ 明朝" w:hint="eastAsia"/>
          <w:szCs w:val="21"/>
        </w:rPr>
        <w:t>味財産期末残高の推移</w:t>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 xml:space="preserve">　　</w:t>
      </w:r>
      <w:r w:rsidRPr="001E744E">
        <w:rPr>
          <w:rFonts w:ascii="ＭＳ 明朝" w:hAnsi="ＭＳ 明朝" w:hint="eastAsia"/>
          <w:szCs w:val="21"/>
        </w:rPr>
        <w:t>（単位：円）</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925"/>
        <w:gridCol w:w="1925"/>
        <w:gridCol w:w="1925"/>
        <w:gridCol w:w="1924"/>
      </w:tblGrid>
      <w:tr w:rsidR="00726DB8" w:rsidRPr="001E744E" w:rsidTr="00726DB8">
        <w:trPr>
          <w:jc w:val="center"/>
        </w:trPr>
        <w:tc>
          <w:tcPr>
            <w:tcW w:w="962" w:type="pct"/>
            <w:shd w:val="clear" w:color="auto" w:fill="auto"/>
          </w:tcPr>
          <w:p w:rsidR="00726DB8" w:rsidRPr="001E744E" w:rsidRDefault="00726DB8" w:rsidP="00D86E06">
            <w:pPr>
              <w:jc w:val="center"/>
              <w:rPr>
                <w:rFonts w:ascii="ＭＳ 明朝"/>
                <w:szCs w:val="21"/>
              </w:rPr>
            </w:pPr>
            <w:r w:rsidRPr="001E744E">
              <w:rPr>
                <w:rFonts w:ascii="ＭＳ 明朝" w:hint="eastAsia"/>
                <w:szCs w:val="21"/>
              </w:rPr>
              <w:t>平成22年度</w:t>
            </w:r>
          </w:p>
        </w:tc>
        <w:tc>
          <w:tcPr>
            <w:tcW w:w="1009" w:type="pct"/>
          </w:tcPr>
          <w:p w:rsidR="00726DB8" w:rsidRPr="001E744E" w:rsidRDefault="00726DB8" w:rsidP="00D86E06">
            <w:pPr>
              <w:jc w:val="center"/>
              <w:rPr>
                <w:rFonts w:ascii="ＭＳ 明朝"/>
                <w:szCs w:val="21"/>
              </w:rPr>
            </w:pPr>
            <w:r w:rsidRPr="001E744E">
              <w:rPr>
                <w:rFonts w:ascii="ＭＳ 明朝" w:hint="eastAsia"/>
                <w:szCs w:val="21"/>
              </w:rPr>
              <w:t>平成23年度</w:t>
            </w:r>
          </w:p>
        </w:tc>
        <w:tc>
          <w:tcPr>
            <w:tcW w:w="1009" w:type="pct"/>
          </w:tcPr>
          <w:p w:rsidR="00726DB8" w:rsidRPr="001E744E" w:rsidRDefault="00726DB8" w:rsidP="00D86E06">
            <w:pPr>
              <w:jc w:val="center"/>
              <w:rPr>
                <w:rFonts w:ascii="ＭＳ 明朝"/>
                <w:szCs w:val="21"/>
              </w:rPr>
            </w:pPr>
            <w:r w:rsidRPr="001E744E">
              <w:rPr>
                <w:rFonts w:ascii="ＭＳ 明朝" w:hint="eastAsia"/>
                <w:szCs w:val="21"/>
              </w:rPr>
              <w:t>平成24年度</w:t>
            </w:r>
          </w:p>
        </w:tc>
        <w:tc>
          <w:tcPr>
            <w:tcW w:w="1009" w:type="pct"/>
          </w:tcPr>
          <w:p w:rsidR="00726DB8" w:rsidRPr="001E744E" w:rsidRDefault="00726DB8" w:rsidP="00D86E06">
            <w:pPr>
              <w:jc w:val="center"/>
              <w:rPr>
                <w:rFonts w:ascii="ＭＳ 明朝"/>
                <w:szCs w:val="21"/>
              </w:rPr>
            </w:pPr>
            <w:r w:rsidRPr="001E744E">
              <w:rPr>
                <w:rFonts w:ascii="ＭＳ 明朝" w:hint="eastAsia"/>
                <w:szCs w:val="21"/>
              </w:rPr>
              <w:t>平成25年度</w:t>
            </w:r>
          </w:p>
        </w:tc>
        <w:tc>
          <w:tcPr>
            <w:tcW w:w="1009" w:type="pct"/>
            <w:shd w:val="clear" w:color="auto" w:fill="auto"/>
          </w:tcPr>
          <w:p w:rsidR="00726DB8" w:rsidRPr="001E744E" w:rsidRDefault="00726DB8" w:rsidP="00726DB8">
            <w:pPr>
              <w:jc w:val="center"/>
              <w:rPr>
                <w:rFonts w:ascii="ＭＳ 明朝"/>
                <w:szCs w:val="21"/>
              </w:rPr>
            </w:pPr>
            <w:r w:rsidRPr="001E744E">
              <w:rPr>
                <w:rFonts w:ascii="ＭＳ 明朝" w:hint="eastAsia"/>
                <w:szCs w:val="21"/>
              </w:rPr>
              <w:t>平成2</w:t>
            </w:r>
            <w:r>
              <w:rPr>
                <w:rFonts w:ascii="ＭＳ 明朝" w:hint="eastAsia"/>
                <w:szCs w:val="21"/>
              </w:rPr>
              <w:t>6</w:t>
            </w:r>
            <w:r w:rsidRPr="001E744E">
              <w:rPr>
                <w:rFonts w:ascii="ＭＳ 明朝" w:hint="eastAsia"/>
                <w:szCs w:val="21"/>
              </w:rPr>
              <w:t>年度</w:t>
            </w:r>
          </w:p>
        </w:tc>
      </w:tr>
      <w:tr w:rsidR="00726DB8" w:rsidRPr="001E744E" w:rsidTr="00726DB8">
        <w:trPr>
          <w:jc w:val="center"/>
        </w:trPr>
        <w:tc>
          <w:tcPr>
            <w:tcW w:w="962" w:type="pct"/>
            <w:shd w:val="clear" w:color="auto" w:fill="auto"/>
          </w:tcPr>
          <w:p w:rsidR="00726DB8" w:rsidRPr="001E744E" w:rsidRDefault="00726DB8" w:rsidP="00D86E06">
            <w:pPr>
              <w:jc w:val="right"/>
              <w:rPr>
                <w:rFonts w:ascii="ＭＳ 明朝"/>
                <w:szCs w:val="21"/>
              </w:rPr>
            </w:pPr>
            <w:r w:rsidRPr="001E744E">
              <w:rPr>
                <w:rFonts w:ascii="ＭＳ 明朝" w:hint="eastAsia"/>
                <w:szCs w:val="21"/>
              </w:rPr>
              <w:t>11,510,567,648</w:t>
            </w:r>
          </w:p>
        </w:tc>
        <w:tc>
          <w:tcPr>
            <w:tcW w:w="1009" w:type="pct"/>
          </w:tcPr>
          <w:p w:rsidR="00726DB8" w:rsidRPr="001E744E" w:rsidRDefault="00726DB8" w:rsidP="00D86E06">
            <w:pPr>
              <w:jc w:val="right"/>
              <w:rPr>
                <w:rFonts w:ascii="ＭＳ 明朝"/>
                <w:szCs w:val="21"/>
              </w:rPr>
            </w:pPr>
            <w:r w:rsidRPr="001E744E">
              <w:rPr>
                <w:rFonts w:ascii="ＭＳ 明朝" w:hint="eastAsia"/>
                <w:szCs w:val="21"/>
              </w:rPr>
              <w:t>11,555,185,637</w:t>
            </w:r>
          </w:p>
        </w:tc>
        <w:tc>
          <w:tcPr>
            <w:tcW w:w="1009" w:type="pct"/>
          </w:tcPr>
          <w:p w:rsidR="00726DB8" w:rsidRPr="001E744E" w:rsidRDefault="00726DB8" w:rsidP="00D86E06">
            <w:pPr>
              <w:jc w:val="right"/>
              <w:rPr>
                <w:rFonts w:ascii="ＭＳ 明朝"/>
                <w:szCs w:val="21"/>
              </w:rPr>
            </w:pPr>
            <w:r w:rsidRPr="001E744E">
              <w:rPr>
                <w:rFonts w:ascii="ＭＳ 明朝" w:hint="eastAsia"/>
                <w:szCs w:val="21"/>
              </w:rPr>
              <w:t>11,589,006,342</w:t>
            </w:r>
          </w:p>
        </w:tc>
        <w:tc>
          <w:tcPr>
            <w:tcW w:w="1009" w:type="pct"/>
          </w:tcPr>
          <w:p w:rsidR="00726DB8" w:rsidRPr="001E744E" w:rsidRDefault="00726DB8" w:rsidP="00D86E06">
            <w:pPr>
              <w:jc w:val="right"/>
              <w:rPr>
                <w:rFonts w:ascii="ＭＳ 明朝"/>
                <w:szCs w:val="21"/>
              </w:rPr>
            </w:pPr>
            <w:r w:rsidRPr="001E744E">
              <w:rPr>
                <w:rFonts w:ascii="ＭＳ 明朝" w:hint="eastAsia"/>
                <w:szCs w:val="21"/>
              </w:rPr>
              <w:t>11,564,826,835</w:t>
            </w:r>
          </w:p>
        </w:tc>
        <w:tc>
          <w:tcPr>
            <w:tcW w:w="1009" w:type="pct"/>
            <w:shd w:val="clear" w:color="auto" w:fill="auto"/>
          </w:tcPr>
          <w:p w:rsidR="00726DB8" w:rsidRPr="001E744E" w:rsidRDefault="00392C79" w:rsidP="001E744E">
            <w:pPr>
              <w:jc w:val="right"/>
              <w:rPr>
                <w:rFonts w:ascii="ＭＳ 明朝"/>
                <w:szCs w:val="21"/>
              </w:rPr>
            </w:pPr>
            <w:r>
              <w:rPr>
                <w:rFonts w:ascii="ＭＳ 明朝" w:hint="eastAsia"/>
                <w:szCs w:val="21"/>
              </w:rPr>
              <w:t>11,652,477,355</w:t>
            </w:r>
          </w:p>
        </w:tc>
      </w:tr>
      <w:tr w:rsidR="00726DB8" w:rsidRPr="001E744E" w:rsidTr="00726DB8">
        <w:trPr>
          <w:jc w:val="center"/>
        </w:trPr>
        <w:tc>
          <w:tcPr>
            <w:tcW w:w="962" w:type="pct"/>
            <w:shd w:val="clear" w:color="auto" w:fill="auto"/>
          </w:tcPr>
          <w:p w:rsidR="00726DB8" w:rsidRPr="001E744E" w:rsidRDefault="00726DB8" w:rsidP="00CD6699">
            <w:pPr>
              <w:jc w:val="center"/>
              <w:rPr>
                <w:rFonts w:ascii="ＭＳ 明朝"/>
                <w:szCs w:val="21"/>
              </w:rPr>
            </w:pPr>
            <w:r w:rsidRPr="001E744E">
              <w:rPr>
                <w:rFonts w:ascii="ＭＳ 明朝" w:hint="eastAsia"/>
                <w:szCs w:val="21"/>
              </w:rPr>
              <w:t>前年度比</w:t>
            </w:r>
          </w:p>
        </w:tc>
        <w:tc>
          <w:tcPr>
            <w:tcW w:w="1009" w:type="pct"/>
          </w:tcPr>
          <w:p w:rsidR="00726DB8" w:rsidRPr="001E744E" w:rsidRDefault="00726DB8" w:rsidP="00D86E06">
            <w:pPr>
              <w:jc w:val="right"/>
              <w:rPr>
                <w:rFonts w:ascii="ＭＳ 明朝"/>
                <w:szCs w:val="21"/>
              </w:rPr>
            </w:pPr>
            <w:r w:rsidRPr="001E744E">
              <w:rPr>
                <w:rFonts w:ascii="ＭＳ 明朝" w:hint="eastAsia"/>
                <w:szCs w:val="21"/>
              </w:rPr>
              <w:t>44,617,989</w:t>
            </w:r>
          </w:p>
        </w:tc>
        <w:tc>
          <w:tcPr>
            <w:tcW w:w="1009" w:type="pct"/>
          </w:tcPr>
          <w:p w:rsidR="00726DB8" w:rsidRPr="001E744E" w:rsidRDefault="00726DB8" w:rsidP="00D86E06">
            <w:pPr>
              <w:tabs>
                <w:tab w:val="left" w:pos="1763"/>
              </w:tabs>
              <w:jc w:val="right"/>
              <w:rPr>
                <w:rFonts w:ascii="ＭＳ 明朝"/>
                <w:szCs w:val="21"/>
              </w:rPr>
            </w:pPr>
            <w:r w:rsidRPr="001E744E">
              <w:rPr>
                <w:rFonts w:ascii="ＭＳ 明朝" w:hint="eastAsia"/>
                <w:szCs w:val="21"/>
              </w:rPr>
              <w:t>33,820,705</w:t>
            </w:r>
          </w:p>
        </w:tc>
        <w:tc>
          <w:tcPr>
            <w:tcW w:w="1009" w:type="pct"/>
          </w:tcPr>
          <w:p w:rsidR="00726DB8" w:rsidRPr="001E744E" w:rsidRDefault="00726DB8" w:rsidP="00D86E06">
            <w:pPr>
              <w:jc w:val="right"/>
              <w:rPr>
                <w:rFonts w:ascii="ＭＳ 明朝"/>
                <w:szCs w:val="21"/>
              </w:rPr>
            </w:pPr>
            <w:r w:rsidRPr="001E744E">
              <w:rPr>
                <w:rFonts w:ascii="ＭＳ 明朝" w:hint="eastAsia"/>
                <w:szCs w:val="21"/>
              </w:rPr>
              <w:t>△24,179,507</w:t>
            </w:r>
          </w:p>
        </w:tc>
        <w:tc>
          <w:tcPr>
            <w:tcW w:w="1009" w:type="pct"/>
            <w:shd w:val="clear" w:color="auto" w:fill="auto"/>
          </w:tcPr>
          <w:p w:rsidR="00726DB8" w:rsidRPr="001E744E" w:rsidRDefault="00392C79" w:rsidP="001E744E">
            <w:pPr>
              <w:jc w:val="right"/>
              <w:rPr>
                <w:rFonts w:ascii="ＭＳ 明朝"/>
                <w:szCs w:val="21"/>
              </w:rPr>
            </w:pPr>
            <w:r>
              <w:rPr>
                <w:rFonts w:ascii="ＭＳ 明朝" w:hint="eastAsia"/>
                <w:szCs w:val="21"/>
              </w:rPr>
              <w:t>87,650,520</w:t>
            </w:r>
          </w:p>
        </w:tc>
      </w:tr>
    </w:tbl>
    <w:p w:rsidR="001E744E" w:rsidRPr="001E744E" w:rsidRDefault="001E744E" w:rsidP="001E744E">
      <w:pPr>
        <w:rPr>
          <w:rFonts w:ascii="ＭＳ 明朝" w:hAnsi="ＭＳ 明朝" w:hint="eastAsia"/>
          <w:szCs w:val="21"/>
        </w:rPr>
      </w:pPr>
      <w:r w:rsidRPr="001E744E">
        <w:rPr>
          <w:rFonts w:ascii="ＭＳ 明朝" w:hAnsi="ＭＳ 明朝" w:hint="eastAsia"/>
          <w:szCs w:val="21"/>
        </w:rPr>
        <w:t xml:space="preserve">　　　</w:t>
      </w:r>
      <w:r w:rsidR="00256667">
        <w:rPr>
          <w:rFonts w:ascii="ＭＳ 明朝" w:hAnsi="ＭＳ 明朝" w:hint="eastAsia"/>
          <w:szCs w:val="21"/>
        </w:rPr>
        <w:t xml:space="preserve">　</w:t>
      </w:r>
      <w:r w:rsidRPr="001E744E">
        <w:rPr>
          <w:rFonts w:ascii="ＭＳ 明朝" w:hAnsi="ＭＳ 明朝" w:hint="eastAsia"/>
          <w:szCs w:val="21"/>
        </w:rPr>
        <w:t>正味財産のうち現金預貯金の残高（特定資産を含む）は次のとおり推移している。</w:t>
      </w:r>
    </w:p>
    <w:p w:rsidR="001E744E" w:rsidRPr="001E744E" w:rsidRDefault="001E744E" w:rsidP="001E744E">
      <w:pPr>
        <w:rPr>
          <w:rFonts w:ascii="ＭＳ 明朝" w:hAnsi="ＭＳ 明朝" w:hint="eastAsia"/>
          <w:szCs w:val="21"/>
        </w:rPr>
      </w:pPr>
      <w:r>
        <w:rPr>
          <w:rFonts w:ascii="ＭＳ 明朝" w:hAnsi="ＭＳ 明朝" w:hint="eastAsia"/>
          <w:szCs w:val="21"/>
        </w:rPr>
        <w:t xml:space="preserve">　　●現金預貯金の残高（特定資産を含む）の推移</w:t>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t xml:space="preserve">　　</w:t>
      </w:r>
      <w:r w:rsidRPr="001E744E">
        <w:rPr>
          <w:rFonts w:ascii="ＭＳ 明朝" w:hAnsi="ＭＳ 明朝"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925"/>
        <w:gridCol w:w="1906"/>
        <w:gridCol w:w="1979"/>
        <w:gridCol w:w="1914"/>
      </w:tblGrid>
      <w:tr w:rsidR="00392C79" w:rsidRPr="001E744E" w:rsidTr="001E744E">
        <w:tc>
          <w:tcPr>
            <w:tcW w:w="960" w:type="pct"/>
            <w:shd w:val="clear" w:color="auto" w:fill="auto"/>
          </w:tcPr>
          <w:p w:rsidR="00392C79" w:rsidRPr="001E744E" w:rsidRDefault="00392C79" w:rsidP="00366ABC">
            <w:pPr>
              <w:jc w:val="center"/>
              <w:rPr>
                <w:rFonts w:ascii="ＭＳ 明朝"/>
                <w:szCs w:val="21"/>
              </w:rPr>
            </w:pPr>
            <w:r w:rsidRPr="001E744E">
              <w:rPr>
                <w:rFonts w:ascii="ＭＳ 明朝" w:hint="eastAsia"/>
                <w:szCs w:val="21"/>
              </w:rPr>
              <w:t>平成22年度</w:t>
            </w:r>
          </w:p>
        </w:tc>
        <w:tc>
          <w:tcPr>
            <w:tcW w:w="1007" w:type="pct"/>
            <w:shd w:val="clear" w:color="auto" w:fill="auto"/>
          </w:tcPr>
          <w:p w:rsidR="00392C79" w:rsidRPr="001E744E" w:rsidRDefault="00392C79" w:rsidP="00366ABC">
            <w:pPr>
              <w:jc w:val="center"/>
              <w:rPr>
                <w:rFonts w:ascii="ＭＳ 明朝"/>
                <w:szCs w:val="21"/>
              </w:rPr>
            </w:pPr>
            <w:r w:rsidRPr="001E744E">
              <w:rPr>
                <w:rFonts w:ascii="ＭＳ 明朝" w:hint="eastAsia"/>
                <w:szCs w:val="21"/>
              </w:rPr>
              <w:t>平成23年度</w:t>
            </w:r>
          </w:p>
        </w:tc>
        <w:tc>
          <w:tcPr>
            <w:tcW w:w="997" w:type="pct"/>
            <w:shd w:val="clear" w:color="auto" w:fill="auto"/>
          </w:tcPr>
          <w:p w:rsidR="00392C79" w:rsidRPr="001E744E" w:rsidRDefault="00392C79" w:rsidP="00366ABC">
            <w:pPr>
              <w:jc w:val="center"/>
              <w:rPr>
                <w:rFonts w:ascii="ＭＳ 明朝"/>
                <w:szCs w:val="21"/>
              </w:rPr>
            </w:pPr>
            <w:r w:rsidRPr="001E744E">
              <w:rPr>
                <w:rFonts w:ascii="ＭＳ 明朝" w:hint="eastAsia"/>
                <w:szCs w:val="21"/>
              </w:rPr>
              <w:t>平成24年度</w:t>
            </w:r>
          </w:p>
        </w:tc>
        <w:tc>
          <w:tcPr>
            <w:tcW w:w="1035" w:type="pct"/>
            <w:shd w:val="clear" w:color="auto" w:fill="auto"/>
          </w:tcPr>
          <w:p w:rsidR="00392C79" w:rsidRPr="001E744E" w:rsidRDefault="00392C79" w:rsidP="00366ABC">
            <w:pPr>
              <w:jc w:val="center"/>
              <w:rPr>
                <w:rFonts w:ascii="ＭＳ 明朝"/>
                <w:szCs w:val="21"/>
              </w:rPr>
            </w:pPr>
            <w:r w:rsidRPr="001E744E">
              <w:rPr>
                <w:rFonts w:ascii="ＭＳ 明朝" w:hint="eastAsia"/>
                <w:szCs w:val="21"/>
              </w:rPr>
              <w:t>平成25年度</w:t>
            </w:r>
          </w:p>
        </w:tc>
        <w:tc>
          <w:tcPr>
            <w:tcW w:w="1001" w:type="pct"/>
            <w:shd w:val="clear" w:color="auto" w:fill="auto"/>
          </w:tcPr>
          <w:p w:rsidR="00392C79" w:rsidRPr="001E744E" w:rsidRDefault="00392C79" w:rsidP="00CD6699">
            <w:pPr>
              <w:jc w:val="center"/>
              <w:rPr>
                <w:rFonts w:ascii="ＭＳ 明朝"/>
                <w:szCs w:val="21"/>
              </w:rPr>
            </w:pPr>
            <w:r w:rsidRPr="001E744E">
              <w:rPr>
                <w:rFonts w:ascii="ＭＳ 明朝" w:hint="eastAsia"/>
                <w:szCs w:val="21"/>
              </w:rPr>
              <w:t>平成2</w:t>
            </w:r>
            <w:r>
              <w:rPr>
                <w:rFonts w:ascii="ＭＳ 明朝" w:hint="eastAsia"/>
                <w:szCs w:val="21"/>
              </w:rPr>
              <w:t>6</w:t>
            </w:r>
            <w:r w:rsidRPr="001E744E">
              <w:rPr>
                <w:rFonts w:ascii="ＭＳ 明朝" w:hint="eastAsia"/>
                <w:szCs w:val="21"/>
              </w:rPr>
              <w:t>年度</w:t>
            </w:r>
          </w:p>
        </w:tc>
      </w:tr>
      <w:tr w:rsidR="00392C79" w:rsidRPr="001E744E" w:rsidTr="001E744E">
        <w:tc>
          <w:tcPr>
            <w:tcW w:w="960" w:type="pct"/>
            <w:shd w:val="clear" w:color="auto" w:fill="auto"/>
          </w:tcPr>
          <w:p w:rsidR="00392C79" w:rsidRPr="001E744E" w:rsidRDefault="00392C79" w:rsidP="001E744E">
            <w:pPr>
              <w:jc w:val="right"/>
              <w:rPr>
                <w:rFonts w:ascii="ＭＳ 明朝"/>
                <w:szCs w:val="21"/>
              </w:rPr>
            </w:pPr>
            <w:r w:rsidRPr="001E744E">
              <w:rPr>
                <w:rFonts w:ascii="ＭＳ 明朝" w:hint="eastAsia"/>
                <w:szCs w:val="21"/>
              </w:rPr>
              <w:t>7,172,304,279</w:t>
            </w:r>
          </w:p>
        </w:tc>
        <w:tc>
          <w:tcPr>
            <w:tcW w:w="1007" w:type="pct"/>
            <w:shd w:val="clear" w:color="auto" w:fill="auto"/>
          </w:tcPr>
          <w:p w:rsidR="00392C79" w:rsidRPr="001E744E" w:rsidRDefault="00392C79" w:rsidP="00366ABC">
            <w:pPr>
              <w:jc w:val="right"/>
              <w:rPr>
                <w:rFonts w:ascii="ＭＳ 明朝"/>
                <w:szCs w:val="21"/>
              </w:rPr>
            </w:pPr>
            <w:r w:rsidRPr="001E744E">
              <w:rPr>
                <w:rFonts w:ascii="ＭＳ 明朝" w:hint="eastAsia"/>
                <w:szCs w:val="21"/>
              </w:rPr>
              <w:t>7,212,411,969</w:t>
            </w:r>
          </w:p>
        </w:tc>
        <w:tc>
          <w:tcPr>
            <w:tcW w:w="997" w:type="pct"/>
            <w:shd w:val="clear" w:color="auto" w:fill="auto"/>
          </w:tcPr>
          <w:p w:rsidR="00392C79" w:rsidRPr="001E744E" w:rsidRDefault="00392C79" w:rsidP="00366ABC">
            <w:pPr>
              <w:jc w:val="right"/>
              <w:rPr>
                <w:rFonts w:ascii="ＭＳ 明朝"/>
                <w:szCs w:val="21"/>
              </w:rPr>
            </w:pPr>
            <w:r w:rsidRPr="001E744E">
              <w:rPr>
                <w:rFonts w:ascii="ＭＳ 明朝" w:hint="eastAsia"/>
                <w:szCs w:val="21"/>
              </w:rPr>
              <w:t>7,464,716,186</w:t>
            </w:r>
          </w:p>
        </w:tc>
        <w:tc>
          <w:tcPr>
            <w:tcW w:w="1035" w:type="pct"/>
            <w:shd w:val="clear" w:color="auto" w:fill="auto"/>
          </w:tcPr>
          <w:p w:rsidR="00392C79" w:rsidRPr="001E744E" w:rsidRDefault="00392C79" w:rsidP="00366ABC">
            <w:pPr>
              <w:jc w:val="right"/>
              <w:rPr>
                <w:rFonts w:ascii="ＭＳ 明朝"/>
                <w:szCs w:val="21"/>
              </w:rPr>
            </w:pPr>
            <w:r w:rsidRPr="001E744E">
              <w:rPr>
                <w:rFonts w:ascii="ＭＳ 明朝" w:hint="eastAsia"/>
                <w:szCs w:val="21"/>
              </w:rPr>
              <w:t>7,689,617,603</w:t>
            </w:r>
          </w:p>
        </w:tc>
        <w:tc>
          <w:tcPr>
            <w:tcW w:w="1001" w:type="pct"/>
            <w:shd w:val="clear" w:color="auto" w:fill="auto"/>
          </w:tcPr>
          <w:p w:rsidR="00392C79" w:rsidRPr="001E744E" w:rsidRDefault="00392C79" w:rsidP="00CD6699">
            <w:pPr>
              <w:jc w:val="right"/>
              <w:rPr>
                <w:rFonts w:ascii="ＭＳ 明朝"/>
                <w:szCs w:val="21"/>
              </w:rPr>
            </w:pPr>
            <w:r>
              <w:rPr>
                <w:rFonts w:ascii="ＭＳ 明朝" w:hint="eastAsia"/>
                <w:szCs w:val="21"/>
              </w:rPr>
              <w:t>7,907,956,752</w:t>
            </w:r>
          </w:p>
        </w:tc>
      </w:tr>
      <w:tr w:rsidR="00392C79" w:rsidRPr="001E744E" w:rsidTr="001E744E">
        <w:tc>
          <w:tcPr>
            <w:tcW w:w="960" w:type="pct"/>
            <w:shd w:val="clear" w:color="auto" w:fill="auto"/>
          </w:tcPr>
          <w:p w:rsidR="00392C79" w:rsidRPr="001E744E" w:rsidRDefault="00392C79" w:rsidP="00CD6699">
            <w:pPr>
              <w:jc w:val="center"/>
              <w:rPr>
                <w:rFonts w:ascii="ＭＳ 明朝"/>
                <w:szCs w:val="21"/>
              </w:rPr>
            </w:pPr>
            <w:r w:rsidRPr="001E744E">
              <w:rPr>
                <w:rFonts w:ascii="ＭＳ 明朝" w:hint="eastAsia"/>
                <w:szCs w:val="21"/>
              </w:rPr>
              <w:t>前年度比</w:t>
            </w:r>
          </w:p>
        </w:tc>
        <w:tc>
          <w:tcPr>
            <w:tcW w:w="1007" w:type="pct"/>
            <w:shd w:val="clear" w:color="auto" w:fill="auto"/>
          </w:tcPr>
          <w:p w:rsidR="00392C79" w:rsidRPr="001E744E" w:rsidRDefault="00392C79" w:rsidP="00366ABC">
            <w:pPr>
              <w:jc w:val="right"/>
              <w:rPr>
                <w:rFonts w:ascii="ＭＳ 明朝"/>
                <w:szCs w:val="21"/>
              </w:rPr>
            </w:pPr>
            <w:r w:rsidRPr="001E744E">
              <w:rPr>
                <w:rFonts w:ascii="ＭＳ 明朝" w:hint="eastAsia"/>
                <w:szCs w:val="21"/>
              </w:rPr>
              <w:t>40,107,690</w:t>
            </w:r>
          </w:p>
        </w:tc>
        <w:tc>
          <w:tcPr>
            <w:tcW w:w="997" w:type="pct"/>
            <w:shd w:val="clear" w:color="auto" w:fill="auto"/>
          </w:tcPr>
          <w:p w:rsidR="00392C79" w:rsidRPr="001E744E" w:rsidRDefault="00392C79" w:rsidP="00366ABC">
            <w:pPr>
              <w:jc w:val="right"/>
              <w:rPr>
                <w:rFonts w:ascii="ＭＳ 明朝"/>
                <w:szCs w:val="21"/>
              </w:rPr>
            </w:pPr>
            <w:r w:rsidRPr="001E744E">
              <w:rPr>
                <w:rFonts w:ascii="ＭＳ 明朝" w:hint="eastAsia"/>
                <w:szCs w:val="21"/>
              </w:rPr>
              <w:t>252,304,217</w:t>
            </w:r>
          </w:p>
        </w:tc>
        <w:tc>
          <w:tcPr>
            <w:tcW w:w="1035" w:type="pct"/>
            <w:shd w:val="clear" w:color="auto" w:fill="auto"/>
          </w:tcPr>
          <w:p w:rsidR="00392C79" w:rsidRPr="001E744E" w:rsidRDefault="00392C79" w:rsidP="00366ABC">
            <w:pPr>
              <w:jc w:val="right"/>
              <w:rPr>
                <w:rFonts w:ascii="ＭＳ 明朝"/>
                <w:szCs w:val="21"/>
              </w:rPr>
            </w:pPr>
            <w:r w:rsidRPr="001E744E">
              <w:rPr>
                <w:rFonts w:ascii="ＭＳ 明朝" w:hint="eastAsia"/>
                <w:szCs w:val="21"/>
              </w:rPr>
              <w:t>224,901,417</w:t>
            </w:r>
          </w:p>
        </w:tc>
        <w:tc>
          <w:tcPr>
            <w:tcW w:w="1001" w:type="pct"/>
            <w:shd w:val="clear" w:color="auto" w:fill="auto"/>
          </w:tcPr>
          <w:p w:rsidR="00392C79" w:rsidRPr="001E744E" w:rsidRDefault="00392C79" w:rsidP="00CD6699">
            <w:pPr>
              <w:jc w:val="right"/>
              <w:rPr>
                <w:rFonts w:ascii="ＭＳ 明朝"/>
                <w:szCs w:val="21"/>
              </w:rPr>
            </w:pPr>
            <w:r>
              <w:rPr>
                <w:rFonts w:ascii="ＭＳ 明朝" w:hint="eastAsia"/>
                <w:szCs w:val="21"/>
              </w:rPr>
              <w:t>218,339,149</w:t>
            </w:r>
          </w:p>
        </w:tc>
      </w:tr>
    </w:tbl>
    <w:p w:rsidR="001E744E" w:rsidRPr="00870032" w:rsidRDefault="001E744E" w:rsidP="00256667">
      <w:pPr>
        <w:ind w:left="667" w:hangingChars="300" w:hanging="667"/>
        <w:rPr>
          <w:rFonts w:ascii="ＭＳ 明朝" w:hAnsi="ＭＳ 明朝" w:hint="eastAsia"/>
          <w:color w:val="000000"/>
          <w:szCs w:val="21"/>
        </w:rPr>
      </w:pPr>
      <w:r w:rsidRPr="001E744E">
        <w:rPr>
          <w:rFonts w:ascii="ＭＳ 明朝" w:hAnsi="ＭＳ 明朝" w:hint="eastAsia"/>
          <w:szCs w:val="21"/>
        </w:rPr>
        <w:t xml:space="preserve">　　</w:t>
      </w: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上記のとおり、現金預貯金残高をみる限り、弁護士会には約7</w:t>
      </w:r>
      <w:r w:rsidR="005A6387" w:rsidRPr="00870032">
        <w:rPr>
          <w:rFonts w:ascii="ＭＳ 明朝" w:hAnsi="ＭＳ 明朝" w:hint="eastAsia"/>
          <w:color w:val="000000"/>
          <w:szCs w:val="21"/>
        </w:rPr>
        <w:t>9</w:t>
      </w:r>
      <w:r w:rsidRPr="00870032">
        <w:rPr>
          <w:rFonts w:ascii="ＭＳ 明朝" w:hAnsi="ＭＳ 明朝" w:hint="eastAsia"/>
          <w:color w:val="000000"/>
          <w:szCs w:val="21"/>
        </w:rPr>
        <w:t>億円の使用可能な財源があるように見えるが、いうまでもなく建物や設備造作、あるいは無形固定資産（ソフトウェア）は耐用年数に限りがあってそのための備蓄が必要であるから、現金預貯金の全てが事業に用いることが可能な財産と捉えることはできない。</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1B0E56">
        <w:rPr>
          <w:rFonts w:ascii="ＭＳ 明朝" w:hAnsi="ＭＳ 明朝" w:hint="eastAsia"/>
          <w:b/>
          <w:color w:val="000000"/>
          <w:sz w:val="24"/>
          <w:szCs w:val="24"/>
        </w:rPr>
        <w:t>②</w:t>
      </w:r>
      <w:r w:rsidRPr="00870032">
        <w:rPr>
          <w:rFonts w:ascii="ＭＳ 明朝" w:hAnsi="ＭＳ 明朝" w:hint="eastAsia"/>
          <w:color w:val="000000"/>
          <w:szCs w:val="21"/>
        </w:rPr>
        <w:t xml:space="preserve">　一方、事業内容にかかわりなく増加する、いわば自然増ともいうべき会費収入は、20</w:t>
      </w:r>
      <w:r w:rsidR="005A6387" w:rsidRPr="00870032">
        <w:rPr>
          <w:rFonts w:ascii="ＭＳ 明朝" w:hAnsi="ＭＳ 明朝" w:hint="eastAsia"/>
          <w:color w:val="000000"/>
          <w:szCs w:val="21"/>
        </w:rPr>
        <w:t>10</w:t>
      </w:r>
      <w:r w:rsidRPr="00870032">
        <w:rPr>
          <w:rFonts w:ascii="ＭＳ 明朝" w:hAnsi="ＭＳ 明朝" w:hint="eastAsia"/>
          <w:color w:val="000000"/>
          <w:szCs w:val="21"/>
        </w:rPr>
        <w:t>（平成2</w:t>
      </w:r>
      <w:r w:rsidR="005A6387" w:rsidRPr="00870032">
        <w:rPr>
          <w:rFonts w:ascii="ＭＳ 明朝" w:hAnsi="ＭＳ 明朝" w:hint="eastAsia"/>
          <w:color w:val="000000"/>
          <w:szCs w:val="21"/>
        </w:rPr>
        <w:t>2</w:t>
      </w:r>
      <w:r w:rsidRPr="00870032">
        <w:rPr>
          <w:rFonts w:ascii="ＭＳ 明朝" w:hAnsi="ＭＳ 明朝" w:hint="eastAsia"/>
          <w:color w:val="000000"/>
          <w:szCs w:val="21"/>
        </w:rPr>
        <w:t>）年度以降毎年約</w:t>
      </w:r>
      <w:r w:rsidR="005A6387" w:rsidRPr="00870032">
        <w:rPr>
          <w:rFonts w:ascii="ＭＳ 明朝" w:hAnsi="ＭＳ 明朝" w:hint="eastAsia"/>
          <w:color w:val="000000"/>
          <w:szCs w:val="21"/>
        </w:rPr>
        <w:t>5</w:t>
      </w:r>
      <w:r w:rsidRPr="00870032">
        <w:rPr>
          <w:rFonts w:ascii="ＭＳ 明朝" w:hAnsi="ＭＳ 明朝" w:hint="eastAsia"/>
          <w:color w:val="000000"/>
          <w:szCs w:val="21"/>
        </w:rPr>
        <w:t>000万円ないし7000万円程度増加している</w:t>
      </w:r>
      <w:r w:rsidR="00BB7F85" w:rsidRPr="00870032">
        <w:rPr>
          <w:rFonts w:ascii="ＭＳ 明朝" w:hAnsi="ＭＳ 明朝" w:hint="eastAsia"/>
          <w:color w:val="000000"/>
          <w:szCs w:val="21"/>
        </w:rPr>
        <w:t>。</w:t>
      </w:r>
      <w:r w:rsidRPr="00870032">
        <w:rPr>
          <w:rFonts w:ascii="ＭＳ 明朝" w:hAnsi="ＭＳ 明朝" w:hint="eastAsia"/>
          <w:color w:val="000000"/>
          <w:szCs w:val="21"/>
        </w:rPr>
        <w:t>正味財産の推移と対比すると、会費収入の増加</w:t>
      </w:r>
      <w:r w:rsidR="00A80912" w:rsidRPr="00870032">
        <w:rPr>
          <w:rFonts w:ascii="ＭＳ 明朝" w:hAnsi="ＭＳ 明朝" w:hint="eastAsia"/>
          <w:color w:val="000000"/>
          <w:szCs w:val="21"/>
        </w:rPr>
        <w:t>、管理費の減少（退職給付支出の減少）及び</w:t>
      </w:r>
      <w:r w:rsidR="00BB7F85" w:rsidRPr="00870032">
        <w:rPr>
          <w:rFonts w:ascii="ＭＳ 明朝" w:hAnsi="ＭＳ 明朝" w:hint="eastAsia"/>
          <w:color w:val="000000"/>
          <w:szCs w:val="21"/>
        </w:rPr>
        <w:t>減価償却費の減少（ＯＡ刷新による業務システムの2008（平成20）年度完成分の耐用年数の経過）により、正味財産は会費収入の増加額以上に増加している。</w:t>
      </w:r>
      <w:r w:rsidR="00A80912" w:rsidRPr="00870032">
        <w:rPr>
          <w:rFonts w:ascii="ＭＳ 明朝" w:hAnsi="ＭＳ 明朝" w:hint="eastAsia"/>
          <w:color w:val="000000"/>
          <w:szCs w:val="21"/>
        </w:rPr>
        <w:t>しかしながら、退職給付支出の金額は退職者の有無に左右され、年度により大きく異なることから、単年度の正味財産の増減もさることながら、中長期的な支出を把握し、将来の役員がその時々で必要な政策を躊躇なく執行できるよう、十分な資産の確保が必要となる。</w:t>
      </w:r>
    </w:p>
    <w:p w:rsidR="001E744E" w:rsidRPr="001B0E56" w:rsidRDefault="001E744E" w:rsidP="001E744E">
      <w:pPr>
        <w:rPr>
          <w:rFonts w:ascii="ＭＳ 明朝" w:hAnsi="ＭＳ 明朝" w:hint="eastAsia"/>
          <w:b/>
          <w:color w:val="000000"/>
          <w:sz w:val="24"/>
          <w:szCs w:val="24"/>
        </w:rPr>
      </w:pPr>
      <w:r w:rsidRPr="001B0E56">
        <w:rPr>
          <w:rFonts w:ascii="ＭＳ 明朝" w:hAnsi="ＭＳ 明朝" w:hint="eastAsia"/>
          <w:b/>
          <w:color w:val="000000"/>
          <w:sz w:val="24"/>
          <w:szCs w:val="24"/>
        </w:rPr>
        <w:t>（４）会財政の課題</w:t>
      </w:r>
    </w:p>
    <w:p w:rsidR="001E744E" w:rsidRPr="001B0E56" w:rsidRDefault="001E744E" w:rsidP="001E744E">
      <w:pPr>
        <w:rPr>
          <w:rFonts w:ascii="ＭＳ 明朝" w:hAnsi="ＭＳ 明朝" w:hint="eastAsia"/>
          <w:b/>
          <w:color w:val="000000"/>
          <w:sz w:val="24"/>
          <w:szCs w:val="24"/>
        </w:rPr>
      </w:pPr>
      <w:r w:rsidRPr="001B0E56">
        <w:rPr>
          <w:rFonts w:ascii="ＭＳ 明朝" w:hAnsi="ＭＳ 明朝" w:hint="eastAsia"/>
          <w:b/>
          <w:color w:val="000000"/>
          <w:sz w:val="24"/>
          <w:szCs w:val="24"/>
        </w:rPr>
        <w:t xml:space="preserve">　</w:t>
      </w:r>
      <w:r w:rsidR="00256667" w:rsidRPr="001B0E56">
        <w:rPr>
          <w:rFonts w:ascii="ＭＳ 明朝" w:hAnsi="ＭＳ 明朝" w:hint="eastAsia"/>
          <w:b/>
          <w:color w:val="000000"/>
          <w:sz w:val="24"/>
          <w:szCs w:val="24"/>
        </w:rPr>
        <w:t xml:space="preserve">　</w:t>
      </w:r>
      <w:r w:rsidRPr="001B0E56">
        <w:rPr>
          <w:rFonts w:ascii="ＭＳ 明朝" w:hAnsi="ＭＳ 明朝" w:hint="eastAsia"/>
          <w:b/>
          <w:color w:val="000000"/>
          <w:sz w:val="24"/>
          <w:szCs w:val="24"/>
        </w:rPr>
        <w:t>①　評価の視点</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弁護士会の財務をマクロの視点でみるとき、中長期的に必要な備蓄をどう考えるかが重要である。これに属するのが特定資産と修繕積立金であり、いずれも将来に備えるものであるが、これを重視すれば財務の規律が求められる。しかし、これを寛容にみると</w:t>
      </w:r>
      <w:r w:rsidRPr="00870032">
        <w:rPr>
          <w:rFonts w:ascii="ＭＳ 明朝" w:hAnsi="ＭＳ 明朝" w:hint="eastAsia"/>
          <w:color w:val="000000"/>
          <w:szCs w:val="21"/>
        </w:rPr>
        <w:lastRenderedPageBreak/>
        <w:t>きは、東弁の会計処理上、特に会館修繕積立特別会計からの財産の拠出によって容易に短期的に必要な事業に充てられる構造になっているから、特に近年の財務の状況はこの視点から見ていく必要がある。</w:t>
      </w:r>
    </w:p>
    <w:p w:rsidR="001E744E" w:rsidRPr="001B0E56" w:rsidRDefault="001E744E" w:rsidP="001E744E">
      <w:pPr>
        <w:rPr>
          <w:rFonts w:ascii="ＭＳ 明朝" w:hAnsi="ＭＳ 明朝" w:hint="eastAsia"/>
          <w:b/>
          <w:color w:val="000000"/>
          <w:sz w:val="24"/>
          <w:szCs w:val="24"/>
        </w:rPr>
      </w:pPr>
      <w:r w:rsidRPr="001B0E56">
        <w:rPr>
          <w:rFonts w:ascii="ＭＳ 明朝" w:hAnsi="ＭＳ 明朝" w:hint="eastAsia"/>
          <w:b/>
          <w:color w:val="000000"/>
          <w:sz w:val="24"/>
          <w:szCs w:val="24"/>
        </w:rPr>
        <w:t xml:space="preserve">　</w:t>
      </w:r>
      <w:r w:rsidR="00256667" w:rsidRPr="001B0E56">
        <w:rPr>
          <w:rFonts w:ascii="ＭＳ 明朝" w:hAnsi="ＭＳ 明朝" w:hint="eastAsia"/>
          <w:b/>
          <w:color w:val="000000"/>
          <w:sz w:val="24"/>
          <w:szCs w:val="24"/>
        </w:rPr>
        <w:t xml:space="preserve">　</w:t>
      </w:r>
      <w:r w:rsidRPr="001B0E56">
        <w:rPr>
          <w:rFonts w:ascii="ＭＳ 明朝" w:hAnsi="ＭＳ 明朝" w:hint="eastAsia"/>
          <w:b/>
          <w:color w:val="000000"/>
          <w:sz w:val="24"/>
          <w:szCs w:val="24"/>
        </w:rPr>
        <w:t>②　一般会計について</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一般会計の収入としては、会員数の増加による会費収入の増加が収支の改善に寄与している。会員数の増加は今後もある程度見込まれるものの、会費負担の重さから会費値下げを求める声も検討課題となっていることから、必ずしも会費収入の増加に過度の期待は持てない。また、破産管財人等の納付金（201</w:t>
      </w:r>
      <w:r w:rsidR="004D3168" w:rsidRPr="00870032">
        <w:rPr>
          <w:rFonts w:ascii="ＭＳ 明朝" w:hAnsi="ＭＳ 明朝" w:hint="eastAsia"/>
          <w:color w:val="000000"/>
          <w:szCs w:val="21"/>
        </w:rPr>
        <w:t>4</w:t>
      </w:r>
      <w:r w:rsidR="005661D3" w:rsidRPr="00870032">
        <w:rPr>
          <w:rFonts w:ascii="ＭＳ 明朝" w:hAnsi="ＭＳ 明朝" w:hint="eastAsia"/>
          <w:color w:val="000000"/>
          <w:szCs w:val="21"/>
        </w:rPr>
        <w:t>（平成26）</w:t>
      </w:r>
      <w:r w:rsidRPr="00870032">
        <w:rPr>
          <w:rFonts w:ascii="ＭＳ 明朝" w:hAnsi="ＭＳ 明朝" w:hint="eastAsia"/>
          <w:color w:val="000000"/>
          <w:szCs w:val="21"/>
        </w:rPr>
        <w:t>年度は約</w:t>
      </w:r>
      <w:r w:rsidR="004D3168" w:rsidRPr="00870032">
        <w:rPr>
          <w:rFonts w:ascii="ＭＳ 明朝" w:hAnsi="ＭＳ 明朝" w:hint="eastAsia"/>
          <w:color w:val="000000"/>
          <w:szCs w:val="21"/>
        </w:rPr>
        <w:t>6600</w:t>
      </w:r>
      <w:r w:rsidRPr="00870032">
        <w:rPr>
          <w:rFonts w:ascii="ＭＳ 明朝" w:hAnsi="ＭＳ 明朝" w:hint="eastAsia"/>
          <w:color w:val="000000"/>
          <w:szCs w:val="21"/>
        </w:rPr>
        <w:t>万円）</w:t>
      </w:r>
      <w:r w:rsidR="004D3168" w:rsidRPr="00870032">
        <w:rPr>
          <w:rFonts w:ascii="ＭＳ 明朝" w:hAnsi="ＭＳ 明朝" w:hint="eastAsia"/>
          <w:color w:val="000000"/>
          <w:szCs w:val="21"/>
        </w:rPr>
        <w:t>を2015</w:t>
      </w:r>
      <w:r w:rsidR="005661D3" w:rsidRPr="00870032">
        <w:rPr>
          <w:rFonts w:ascii="ＭＳ 明朝" w:hAnsi="ＭＳ 明朝" w:hint="eastAsia"/>
          <w:color w:val="000000"/>
          <w:szCs w:val="21"/>
        </w:rPr>
        <w:t>（平成27）</w:t>
      </w:r>
      <w:r w:rsidR="004D3168" w:rsidRPr="00870032">
        <w:rPr>
          <w:rFonts w:ascii="ＭＳ 明朝" w:hAnsi="ＭＳ 明朝" w:hint="eastAsia"/>
          <w:color w:val="000000"/>
          <w:szCs w:val="21"/>
        </w:rPr>
        <w:t>年度事件終了分から</w:t>
      </w:r>
      <w:r w:rsidRPr="00870032">
        <w:rPr>
          <w:rFonts w:ascii="ＭＳ 明朝" w:hAnsi="ＭＳ 明朝" w:hint="eastAsia"/>
          <w:color w:val="000000"/>
          <w:szCs w:val="21"/>
        </w:rPr>
        <w:t>廃止</w:t>
      </w:r>
      <w:r w:rsidR="004D3168" w:rsidRPr="00870032">
        <w:rPr>
          <w:rFonts w:ascii="ＭＳ 明朝" w:hAnsi="ＭＳ 明朝" w:hint="eastAsia"/>
          <w:color w:val="000000"/>
          <w:szCs w:val="21"/>
        </w:rPr>
        <w:t>したことから</w:t>
      </w:r>
      <w:r w:rsidRPr="00870032">
        <w:rPr>
          <w:rFonts w:ascii="ＭＳ 明朝" w:hAnsi="ＭＳ 明朝" w:hint="eastAsia"/>
          <w:color w:val="000000"/>
          <w:szCs w:val="21"/>
        </w:rPr>
        <w:t>、一般会計の収入の減少要因も存する。</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支出としては、管理費、特に当会では人件費の負担が多い。ここ2、3年行われている残業代削減のための方策はその効果が出ているが、人件費の削減は今後も引き続き行う必要がある。なお、職員退職給付引当金の問題とともに、東日本大震災のような緊急事態の場合、会費の納入がない事態も考慮した人件費の手当も考えておく必要があろう。また、OA刷新については、2011（平成23）年度をもって一応の完成を見たが、多額の支出を要する事業であったことから、耐用年数経過後のシステムの更新等について長期的視野に立って、必要な資金を事業準備積立金として確保しておく必要がある。</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2010（平成22）年11月30日の臨時総会で、一般会計の収支を改善するために、一般会計から会館維持管理会計への繰出金支出を7年間を上限として停止する決議をした。2018（平成30）年度までには会館維持管理会計への繰出が再開されるが、少なくとも同会計への繰出額1億</w:t>
      </w:r>
      <w:r w:rsidR="004D3168" w:rsidRPr="00870032">
        <w:rPr>
          <w:rFonts w:ascii="ＭＳ 明朝" w:hAnsi="ＭＳ 明朝" w:hint="eastAsia"/>
          <w:color w:val="000000"/>
          <w:szCs w:val="21"/>
        </w:rPr>
        <w:t>6</w:t>
      </w:r>
      <w:r w:rsidRPr="00870032">
        <w:rPr>
          <w:rFonts w:ascii="ＭＳ 明朝" w:hAnsi="ＭＳ 明朝" w:hint="eastAsia"/>
          <w:color w:val="000000"/>
          <w:szCs w:val="21"/>
        </w:rPr>
        <w:t>000万円</w:t>
      </w:r>
      <w:r w:rsidR="004D3168" w:rsidRPr="00870032">
        <w:rPr>
          <w:rFonts w:ascii="ＭＳ 明朝" w:hAnsi="ＭＳ 明朝" w:hint="eastAsia"/>
          <w:color w:val="000000"/>
          <w:szCs w:val="21"/>
        </w:rPr>
        <w:t>程度は</w:t>
      </w:r>
      <w:r w:rsidRPr="00870032">
        <w:rPr>
          <w:rFonts w:ascii="ＭＳ 明朝" w:hAnsi="ＭＳ 明朝" w:hint="eastAsia"/>
          <w:color w:val="000000"/>
          <w:szCs w:val="21"/>
        </w:rPr>
        <w:t>次期繰越収支差額が増加するよう健全化されていなければならないことを踏まえると、単年度ごとの執行部が連係して、長期にわたる資金繰上の課題を克服しているか否かについてのチェック体制を整備する必要がある。</w:t>
      </w:r>
    </w:p>
    <w:p w:rsidR="001E744E" w:rsidRPr="001B0E56" w:rsidRDefault="001E744E" w:rsidP="00256667">
      <w:pPr>
        <w:ind w:firstLineChars="100" w:firstLine="253"/>
        <w:rPr>
          <w:rFonts w:ascii="ＭＳ 明朝" w:hAnsi="ＭＳ 明朝" w:hint="eastAsia"/>
          <w:b/>
          <w:color w:val="000000"/>
          <w:sz w:val="24"/>
          <w:szCs w:val="24"/>
        </w:rPr>
      </w:pPr>
      <w:r w:rsidRPr="001B0E56">
        <w:rPr>
          <w:rFonts w:ascii="ＭＳ 明朝" w:hAnsi="ＭＳ 明朝" w:hint="eastAsia"/>
          <w:b/>
          <w:color w:val="000000"/>
          <w:sz w:val="24"/>
          <w:szCs w:val="24"/>
        </w:rPr>
        <w:t xml:space="preserve">　③　法律相談事業について</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法律相談特別会計については、この数年の収支の悪化がきわめて顕著である。すなわち、一般会計からの繰入金と一般会計への繰出金の差額は、2008（平成20）年度は1億1595万7824円、2009（平成21）年度は6438万4519円、2010（平成22）年度は1918万0721円、2011（平成23）年度は547万7309円の黒字であったが、2012（平成24）年度は▲3146万4553円、2013（平成25）年度は▲5443万2758円</w:t>
      </w:r>
      <w:r w:rsidR="0068271D" w:rsidRPr="00870032">
        <w:rPr>
          <w:rFonts w:ascii="ＭＳ 明朝" w:hAnsi="ＭＳ 明朝" w:hint="eastAsia"/>
          <w:color w:val="000000"/>
          <w:szCs w:val="21"/>
        </w:rPr>
        <w:t>、2014（平成26）年度は▲5945万6459円</w:t>
      </w:r>
      <w:r w:rsidRPr="00870032">
        <w:rPr>
          <w:rFonts w:ascii="ＭＳ 明朝" w:hAnsi="ＭＳ 明朝" w:hint="eastAsia"/>
          <w:color w:val="000000"/>
          <w:szCs w:val="21"/>
        </w:rPr>
        <w:t>と赤字が増大している。</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法律相談事業は、その収支の結果にかかわらず、弁護士に対してアクセス障害のある市民や中小企業等に対して法的支援をすることのほか、会員に対して事件受任の機会を提供することや、若手会員に実務経験を得させることなどの意義があるものであるが、巨額の赤字の存在は単に当会の財政を悪化させるだけでなく、当会の他の事業の実施に悪影響を及ぼす危険もある。そのため、</w:t>
      </w:r>
      <w:r w:rsidR="0068271D" w:rsidRPr="00870032">
        <w:rPr>
          <w:rFonts w:ascii="ＭＳ 明朝" w:hAnsi="ＭＳ 明朝" w:hint="eastAsia"/>
          <w:color w:val="000000"/>
          <w:szCs w:val="21"/>
        </w:rPr>
        <w:t>前年度には、臨時総会</w:t>
      </w:r>
      <w:r w:rsidR="005661D3" w:rsidRPr="00870032">
        <w:rPr>
          <w:rFonts w:ascii="ＭＳ 明朝" w:hAnsi="ＭＳ 明朝" w:hint="eastAsia"/>
          <w:color w:val="000000"/>
          <w:szCs w:val="21"/>
        </w:rPr>
        <w:t>にて承認された法律相談事業に関する基本方針に基づき</w:t>
      </w:r>
      <w:r w:rsidR="0068271D" w:rsidRPr="00870032">
        <w:rPr>
          <w:rFonts w:ascii="ＭＳ 明朝" w:hAnsi="ＭＳ 明朝" w:hint="eastAsia"/>
          <w:color w:val="000000"/>
          <w:szCs w:val="21"/>
        </w:rPr>
        <w:t>、法律相談事業改革プロジェクトチーム</w:t>
      </w:r>
      <w:r w:rsidR="005661D3" w:rsidRPr="00870032">
        <w:rPr>
          <w:rFonts w:ascii="ＭＳ 明朝" w:hAnsi="ＭＳ 明朝" w:hint="eastAsia"/>
          <w:color w:val="000000"/>
          <w:szCs w:val="21"/>
        </w:rPr>
        <w:t>の</w:t>
      </w:r>
      <w:r w:rsidR="0068271D" w:rsidRPr="00870032">
        <w:rPr>
          <w:rFonts w:ascii="ＭＳ 明朝" w:hAnsi="ＭＳ 明朝" w:hint="eastAsia"/>
          <w:color w:val="000000"/>
          <w:szCs w:val="21"/>
        </w:rPr>
        <w:t>設置</w:t>
      </w:r>
      <w:r w:rsidR="005661D3" w:rsidRPr="00870032">
        <w:rPr>
          <w:rFonts w:ascii="ＭＳ 明朝" w:hAnsi="ＭＳ 明朝" w:hint="eastAsia"/>
          <w:color w:val="000000"/>
          <w:szCs w:val="21"/>
        </w:rPr>
        <w:t>や法律相談事業における納付金の特例に関する規則（納付金の10％から15％への引き上げ）が制定</w:t>
      </w:r>
      <w:r w:rsidR="0068271D" w:rsidRPr="00870032">
        <w:rPr>
          <w:rFonts w:ascii="ＭＳ 明朝" w:hAnsi="ＭＳ 明朝" w:hint="eastAsia"/>
          <w:color w:val="000000"/>
          <w:szCs w:val="21"/>
        </w:rPr>
        <w:t>されたことから、</w:t>
      </w:r>
      <w:r w:rsidR="005661D3" w:rsidRPr="00870032">
        <w:rPr>
          <w:rFonts w:ascii="ＭＳ 明朝" w:hAnsi="ＭＳ 明朝" w:hint="eastAsia"/>
          <w:color w:val="000000"/>
          <w:szCs w:val="21"/>
        </w:rPr>
        <w:t>今後も引き続き、</w:t>
      </w:r>
      <w:r w:rsidRPr="00870032">
        <w:rPr>
          <w:rFonts w:ascii="ＭＳ 明朝" w:hAnsi="ＭＳ 明朝" w:hint="eastAsia"/>
          <w:color w:val="000000"/>
          <w:szCs w:val="21"/>
        </w:rPr>
        <w:t>法律相談事業の収支を改善するため、時機を失す</w:t>
      </w:r>
      <w:r w:rsidRPr="00870032">
        <w:rPr>
          <w:rFonts w:ascii="ＭＳ 明朝" w:hAnsi="ＭＳ 明朝" w:hint="eastAsia"/>
          <w:color w:val="000000"/>
          <w:szCs w:val="21"/>
        </w:rPr>
        <w:lastRenderedPageBreak/>
        <w:t>ることなく的確・適切な改革を実行し、法律相談事業の目的や機能を踏まえながら、法律相談センターの廃止・移転・統合等を含めた法律相談センターの在り方を含めた検討を行うことが必要である。</w:t>
      </w:r>
    </w:p>
    <w:p w:rsidR="001E744E" w:rsidRPr="001B0E56" w:rsidRDefault="001E744E" w:rsidP="00256667">
      <w:pPr>
        <w:ind w:firstLineChars="100" w:firstLine="253"/>
        <w:rPr>
          <w:rFonts w:ascii="ＭＳ 明朝" w:hAnsi="ＭＳ 明朝" w:hint="eastAsia"/>
          <w:b/>
          <w:color w:val="000000"/>
          <w:sz w:val="24"/>
          <w:szCs w:val="24"/>
        </w:rPr>
      </w:pPr>
      <w:r w:rsidRPr="001B0E56">
        <w:rPr>
          <w:rFonts w:ascii="ＭＳ 明朝" w:hAnsi="ＭＳ 明朝" w:hint="eastAsia"/>
          <w:b/>
          <w:color w:val="000000"/>
          <w:sz w:val="24"/>
          <w:szCs w:val="24"/>
        </w:rPr>
        <w:t xml:space="preserve">　④　人権救済基金特別会計について</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本会計は、ⅰ）法律援助事業、ⅱ）刑事弁護及び子どもの人権に関する事業、ⅲ）被拘禁者の人権その他人権救済事業の3事業であるが、3事業のいずれについても黒字化を想定することが困難であるが、財政的見地から、一般会計からの繰入金（201</w:t>
      </w:r>
      <w:r w:rsidR="005661D3" w:rsidRPr="00870032">
        <w:rPr>
          <w:rFonts w:ascii="ＭＳ 明朝" w:hAnsi="ＭＳ 明朝" w:hint="eastAsia"/>
          <w:color w:val="000000"/>
          <w:szCs w:val="21"/>
        </w:rPr>
        <w:t>4</w:t>
      </w:r>
      <w:r w:rsidRPr="00870032">
        <w:rPr>
          <w:rFonts w:ascii="ＭＳ 明朝" w:hAnsi="ＭＳ 明朝" w:hint="eastAsia"/>
          <w:color w:val="000000"/>
          <w:szCs w:val="21"/>
        </w:rPr>
        <w:t>（平成2</w:t>
      </w:r>
      <w:r w:rsidR="005661D3" w:rsidRPr="00870032">
        <w:rPr>
          <w:rFonts w:ascii="ＭＳ 明朝" w:hAnsi="ＭＳ 明朝" w:hint="eastAsia"/>
          <w:color w:val="000000"/>
          <w:szCs w:val="21"/>
        </w:rPr>
        <w:t>6</w:t>
      </w:r>
      <w:r w:rsidRPr="00870032">
        <w:rPr>
          <w:rFonts w:ascii="ＭＳ 明朝" w:hAnsi="ＭＳ 明朝" w:hint="eastAsia"/>
          <w:color w:val="000000"/>
          <w:szCs w:val="21"/>
        </w:rPr>
        <w:t>）年度は</w:t>
      </w:r>
      <w:r w:rsidR="005661D3" w:rsidRPr="00870032">
        <w:rPr>
          <w:rFonts w:ascii="ＭＳ 明朝" w:hAnsi="ＭＳ 明朝" w:hint="eastAsia"/>
          <w:color w:val="000000"/>
          <w:szCs w:val="21"/>
        </w:rPr>
        <w:t>1億1800</w:t>
      </w:r>
      <w:r w:rsidRPr="00870032">
        <w:rPr>
          <w:rFonts w:ascii="ＭＳ 明朝" w:hAnsi="ＭＳ 明朝" w:hint="eastAsia"/>
          <w:color w:val="000000"/>
          <w:szCs w:val="21"/>
        </w:rPr>
        <w:t>万円）をどのようにしていくかを考えていく必要があり、そのためにこの事業の収支について検討する必要がある。</w:t>
      </w:r>
    </w:p>
    <w:p w:rsidR="001E744E" w:rsidRPr="001B0E56" w:rsidRDefault="001E744E" w:rsidP="001E744E">
      <w:pPr>
        <w:rPr>
          <w:rFonts w:ascii="ＭＳ 明朝" w:hAnsi="ＭＳ 明朝" w:hint="eastAsia"/>
          <w:b/>
          <w:color w:val="000000"/>
          <w:sz w:val="24"/>
          <w:szCs w:val="24"/>
        </w:rPr>
      </w:pPr>
      <w:r w:rsidRPr="001B0E56">
        <w:rPr>
          <w:rFonts w:ascii="ＭＳ 明朝" w:hAnsi="ＭＳ 明朝" w:hint="eastAsia"/>
          <w:b/>
          <w:color w:val="000000"/>
          <w:sz w:val="24"/>
          <w:szCs w:val="24"/>
        </w:rPr>
        <w:t xml:space="preserve">　</w:t>
      </w:r>
      <w:r w:rsidR="00256667" w:rsidRPr="001B0E56">
        <w:rPr>
          <w:rFonts w:ascii="ＭＳ 明朝" w:hAnsi="ＭＳ 明朝" w:hint="eastAsia"/>
          <w:b/>
          <w:color w:val="000000"/>
          <w:sz w:val="24"/>
          <w:szCs w:val="24"/>
        </w:rPr>
        <w:t xml:space="preserve">　</w:t>
      </w:r>
      <w:r w:rsidRPr="001B0E56">
        <w:rPr>
          <w:rFonts w:ascii="ＭＳ 明朝" w:hAnsi="ＭＳ 明朝" w:hint="eastAsia"/>
          <w:b/>
          <w:color w:val="000000"/>
          <w:sz w:val="24"/>
          <w:szCs w:val="24"/>
        </w:rPr>
        <w:t>⑤　会館について</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会館維持管理会計は2010（平成22）年における臨時総会決議により、一般会計からの繰入金を7年間止めることができることとなり、その補填として、毎年、会館修繕積立金会計から2億円を限度として会館維持管理会計に繰り入れることになった。会館修繕積立金会計は、本来会館の大規模修繕等のために積み立てられる資金である。201</w:t>
      </w:r>
      <w:r w:rsidR="003E3ED7" w:rsidRPr="00870032">
        <w:rPr>
          <w:rFonts w:ascii="ＭＳ 明朝" w:hAnsi="ＭＳ 明朝" w:hint="eastAsia"/>
          <w:color w:val="000000"/>
          <w:szCs w:val="21"/>
        </w:rPr>
        <w:t>4</w:t>
      </w:r>
      <w:r w:rsidRPr="00870032">
        <w:rPr>
          <w:rFonts w:ascii="ＭＳ 明朝" w:hAnsi="ＭＳ 明朝" w:hint="eastAsia"/>
          <w:color w:val="000000"/>
          <w:szCs w:val="21"/>
        </w:rPr>
        <w:t>（平成2</w:t>
      </w:r>
      <w:r w:rsidR="003E3ED7" w:rsidRPr="00870032">
        <w:rPr>
          <w:rFonts w:ascii="ＭＳ 明朝" w:hAnsi="ＭＳ 明朝" w:hint="eastAsia"/>
          <w:color w:val="000000"/>
          <w:szCs w:val="21"/>
        </w:rPr>
        <w:t>6</w:t>
      </w:r>
      <w:r w:rsidRPr="00870032">
        <w:rPr>
          <w:rFonts w:ascii="ＭＳ 明朝" w:hAnsi="ＭＳ 明朝" w:hint="eastAsia"/>
          <w:color w:val="000000"/>
          <w:szCs w:val="21"/>
        </w:rPr>
        <w:t>）年度決算における次期繰越収支差額は52億</w:t>
      </w:r>
      <w:r w:rsidR="003E3ED7" w:rsidRPr="00870032">
        <w:rPr>
          <w:rFonts w:ascii="ＭＳ 明朝" w:hAnsi="ＭＳ 明朝" w:hint="eastAsia"/>
          <w:color w:val="000000"/>
          <w:szCs w:val="21"/>
        </w:rPr>
        <w:t>9893</w:t>
      </w:r>
      <w:r w:rsidRPr="00870032">
        <w:rPr>
          <w:rFonts w:ascii="ＭＳ 明朝" w:hAnsi="ＭＳ 明朝" w:hint="eastAsia"/>
          <w:color w:val="000000"/>
          <w:szCs w:val="21"/>
        </w:rPr>
        <w:t>万</w:t>
      </w:r>
      <w:r w:rsidR="003E3ED7" w:rsidRPr="00870032">
        <w:rPr>
          <w:rFonts w:ascii="ＭＳ 明朝" w:hAnsi="ＭＳ 明朝" w:hint="eastAsia"/>
          <w:color w:val="000000"/>
          <w:szCs w:val="21"/>
        </w:rPr>
        <w:t>5858</w:t>
      </w:r>
      <w:r w:rsidRPr="00870032">
        <w:rPr>
          <w:rFonts w:ascii="ＭＳ 明朝" w:hAnsi="ＭＳ 明朝" w:hint="eastAsia"/>
          <w:color w:val="000000"/>
          <w:szCs w:val="21"/>
        </w:rPr>
        <w:t>円で、その額を見る限り十分なようにも思われるが、そもそも現会館も減価償却によりその資産価値が目減りしていること、来年度に予定されている大規模修繕（なお、東弁では20億円程度の支出と予想されている。）の他、会員数増加による会館スペースの確保の問題があること等からすると、同積立金を会館の維持管理に流用することは望ましいことではなく、なるべく短期間のうちにそのような事態を解消すべきである。</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他方、会館維持管理会計は、前記のとおり、一般会計からの繰入を停止し、会館修繕積立金会計から繰り入れて対処していることもあり、繰越金は201</w:t>
      </w:r>
      <w:r w:rsidR="003E3ED7" w:rsidRPr="00870032">
        <w:rPr>
          <w:rFonts w:ascii="ＭＳ 明朝" w:hAnsi="ＭＳ 明朝" w:hint="eastAsia"/>
          <w:color w:val="000000"/>
          <w:szCs w:val="21"/>
        </w:rPr>
        <w:t>3</w:t>
      </w:r>
      <w:r w:rsidRPr="00870032">
        <w:rPr>
          <w:rFonts w:ascii="ＭＳ 明朝" w:hAnsi="ＭＳ 明朝" w:hint="eastAsia"/>
          <w:color w:val="000000"/>
          <w:szCs w:val="21"/>
        </w:rPr>
        <w:t>（平成2</w:t>
      </w:r>
      <w:r w:rsidR="003E3ED7" w:rsidRPr="00870032">
        <w:rPr>
          <w:rFonts w:ascii="ＭＳ 明朝" w:hAnsi="ＭＳ 明朝" w:hint="eastAsia"/>
          <w:color w:val="000000"/>
          <w:szCs w:val="21"/>
        </w:rPr>
        <w:t>5</w:t>
      </w:r>
      <w:r w:rsidRPr="00870032">
        <w:rPr>
          <w:rFonts w:ascii="ＭＳ 明朝" w:hAnsi="ＭＳ 明朝" w:hint="eastAsia"/>
          <w:color w:val="000000"/>
          <w:szCs w:val="21"/>
        </w:rPr>
        <w:t>）年度</w:t>
      </w:r>
      <w:r w:rsidR="003E3ED7" w:rsidRPr="00870032">
        <w:rPr>
          <w:rFonts w:ascii="ＭＳ 明朝" w:hAnsi="ＭＳ 明朝" w:hint="eastAsia"/>
          <w:color w:val="000000"/>
          <w:szCs w:val="21"/>
        </w:rPr>
        <w:t>5億3430万8674円</w:t>
      </w:r>
      <w:r w:rsidRPr="00870032">
        <w:rPr>
          <w:rFonts w:ascii="ＭＳ 明朝" w:hAnsi="ＭＳ 明朝" w:hint="eastAsia"/>
          <w:color w:val="000000"/>
          <w:szCs w:val="21"/>
        </w:rPr>
        <w:t>から201</w:t>
      </w:r>
      <w:r w:rsidR="003E3ED7" w:rsidRPr="00870032">
        <w:rPr>
          <w:rFonts w:ascii="ＭＳ 明朝" w:hAnsi="ＭＳ 明朝" w:hint="eastAsia"/>
          <w:color w:val="000000"/>
          <w:szCs w:val="21"/>
        </w:rPr>
        <w:t>4</w:t>
      </w:r>
      <w:r w:rsidRPr="00870032">
        <w:rPr>
          <w:rFonts w:ascii="ＭＳ 明朝" w:hAnsi="ＭＳ 明朝" w:hint="eastAsia"/>
          <w:color w:val="000000"/>
          <w:szCs w:val="21"/>
        </w:rPr>
        <w:t>（平成2</w:t>
      </w:r>
      <w:r w:rsidR="003E3ED7" w:rsidRPr="00870032">
        <w:rPr>
          <w:rFonts w:ascii="ＭＳ 明朝" w:hAnsi="ＭＳ 明朝" w:hint="eastAsia"/>
          <w:color w:val="000000"/>
          <w:szCs w:val="21"/>
        </w:rPr>
        <w:t>6</w:t>
      </w:r>
      <w:r w:rsidRPr="00870032">
        <w:rPr>
          <w:rFonts w:ascii="ＭＳ 明朝" w:hAnsi="ＭＳ 明朝" w:hint="eastAsia"/>
          <w:color w:val="000000"/>
          <w:szCs w:val="21"/>
        </w:rPr>
        <w:t>）年度5億</w:t>
      </w:r>
      <w:r w:rsidR="003E3ED7" w:rsidRPr="00870032">
        <w:rPr>
          <w:rFonts w:ascii="ＭＳ 明朝" w:hAnsi="ＭＳ 明朝" w:hint="eastAsia"/>
          <w:color w:val="000000"/>
          <w:szCs w:val="21"/>
        </w:rPr>
        <w:t>5044</w:t>
      </w:r>
      <w:r w:rsidRPr="00870032">
        <w:rPr>
          <w:rFonts w:ascii="ＭＳ 明朝" w:hAnsi="ＭＳ 明朝" w:hint="eastAsia"/>
          <w:color w:val="000000"/>
          <w:szCs w:val="21"/>
        </w:rPr>
        <w:t>万</w:t>
      </w:r>
      <w:r w:rsidR="003E3ED7" w:rsidRPr="00870032">
        <w:rPr>
          <w:rFonts w:ascii="ＭＳ 明朝" w:hAnsi="ＭＳ 明朝" w:hint="eastAsia"/>
          <w:color w:val="000000"/>
          <w:szCs w:val="21"/>
        </w:rPr>
        <w:t>1636</w:t>
      </w:r>
      <w:r w:rsidRPr="00870032">
        <w:rPr>
          <w:rFonts w:ascii="ＭＳ 明朝" w:hAnsi="ＭＳ 明朝" w:hint="eastAsia"/>
          <w:color w:val="000000"/>
          <w:szCs w:val="21"/>
        </w:rPr>
        <w:t>円と</w:t>
      </w:r>
      <w:r w:rsidR="003E3ED7" w:rsidRPr="00870032">
        <w:rPr>
          <w:rFonts w:ascii="ＭＳ 明朝" w:hAnsi="ＭＳ 明朝" w:hint="eastAsia"/>
          <w:color w:val="000000"/>
          <w:szCs w:val="21"/>
        </w:rPr>
        <w:t>1613</w:t>
      </w:r>
      <w:r w:rsidRPr="00870032">
        <w:rPr>
          <w:rFonts w:ascii="ＭＳ 明朝" w:hAnsi="ＭＳ 明朝" w:hint="eastAsia"/>
          <w:color w:val="000000"/>
          <w:szCs w:val="21"/>
        </w:rPr>
        <w:t>万</w:t>
      </w:r>
      <w:r w:rsidR="003E3ED7" w:rsidRPr="00870032">
        <w:rPr>
          <w:rFonts w:ascii="ＭＳ 明朝" w:hAnsi="ＭＳ 明朝" w:hint="eastAsia"/>
          <w:color w:val="000000"/>
          <w:szCs w:val="21"/>
        </w:rPr>
        <w:t>2962</w:t>
      </w:r>
      <w:r w:rsidRPr="00870032">
        <w:rPr>
          <w:rFonts w:ascii="ＭＳ 明朝" w:hAnsi="ＭＳ 明朝" w:hint="eastAsia"/>
          <w:color w:val="000000"/>
          <w:szCs w:val="21"/>
        </w:rPr>
        <w:t>円の増加となったが、今後とも更なる収支の改善を図る必要がある。その他、今後の会館敷地使用料の増額請求の問題も予断を許さない状態であることも考慮に入れるべきである。</w:t>
      </w:r>
    </w:p>
    <w:p w:rsidR="001E744E" w:rsidRPr="001B0E56" w:rsidRDefault="001E744E" w:rsidP="001E744E">
      <w:pPr>
        <w:rPr>
          <w:rFonts w:ascii="ＭＳ 明朝" w:hAnsi="ＭＳ 明朝" w:hint="eastAsia"/>
          <w:b/>
          <w:color w:val="000000"/>
          <w:sz w:val="24"/>
          <w:szCs w:val="24"/>
        </w:rPr>
      </w:pPr>
      <w:r w:rsidRPr="001B0E56">
        <w:rPr>
          <w:rFonts w:ascii="ＭＳ 明朝" w:hAnsi="ＭＳ 明朝" w:hint="eastAsia"/>
          <w:b/>
          <w:color w:val="000000"/>
          <w:sz w:val="24"/>
          <w:szCs w:val="24"/>
        </w:rPr>
        <w:t xml:space="preserve">　</w:t>
      </w:r>
      <w:r w:rsidR="00256667" w:rsidRPr="001B0E56">
        <w:rPr>
          <w:rFonts w:ascii="ＭＳ 明朝" w:hAnsi="ＭＳ 明朝" w:hint="eastAsia"/>
          <w:b/>
          <w:color w:val="000000"/>
          <w:sz w:val="24"/>
          <w:szCs w:val="24"/>
        </w:rPr>
        <w:t xml:space="preserve">　</w:t>
      </w:r>
      <w:r w:rsidRPr="001B0E56">
        <w:rPr>
          <w:rFonts w:ascii="ＭＳ 明朝" w:hAnsi="ＭＳ 明朝" w:hint="eastAsia"/>
          <w:b/>
          <w:color w:val="000000"/>
          <w:sz w:val="24"/>
          <w:szCs w:val="24"/>
        </w:rPr>
        <w:t>⑥　公設事務所について</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公設事務所については、刑事弁護態勢の強化、地域の法的需要への対応等その存在意義は重要なものがある。しかしながら、その経済的支援については適正なものであるべきである。</w:t>
      </w:r>
    </w:p>
    <w:p w:rsidR="001E744E" w:rsidRPr="00870032" w:rsidRDefault="001E744E" w:rsidP="00256667">
      <w:pPr>
        <w:ind w:left="667" w:hangingChars="300" w:hanging="667"/>
        <w:rPr>
          <w:rFonts w:ascii="ＭＳ 明朝" w:hAnsi="ＭＳ 明朝" w:hint="eastAsia"/>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870032">
        <w:rPr>
          <w:rFonts w:ascii="ＭＳ 明朝" w:hAnsi="ＭＳ 明朝" w:hint="eastAsia"/>
          <w:color w:val="000000"/>
          <w:szCs w:val="21"/>
        </w:rPr>
        <w:t xml:space="preserve">　　公設事務所特別会計に対しては、201</w:t>
      </w:r>
      <w:r w:rsidR="003E3ED7" w:rsidRPr="00870032">
        <w:rPr>
          <w:rFonts w:ascii="ＭＳ 明朝" w:hAnsi="ＭＳ 明朝" w:hint="eastAsia"/>
          <w:color w:val="000000"/>
          <w:szCs w:val="21"/>
        </w:rPr>
        <w:t>4</w:t>
      </w:r>
      <w:r w:rsidRPr="00870032">
        <w:rPr>
          <w:rFonts w:ascii="ＭＳ 明朝" w:hAnsi="ＭＳ 明朝" w:hint="eastAsia"/>
          <w:color w:val="000000"/>
          <w:szCs w:val="21"/>
        </w:rPr>
        <w:t>（平成2</w:t>
      </w:r>
      <w:r w:rsidR="003E3ED7" w:rsidRPr="00870032">
        <w:rPr>
          <w:rFonts w:ascii="ＭＳ 明朝" w:hAnsi="ＭＳ 明朝" w:hint="eastAsia"/>
          <w:color w:val="000000"/>
          <w:szCs w:val="21"/>
        </w:rPr>
        <w:t>6</w:t>
      </w:r>
      <w:r w:rsidRPr="00870032">
        <w:rPr>
          <w:rFonts w:ascii="ＭＳ 明朝" w:hAnsi="ＭＳ 明朝" w:hint="eastAsia"/>
          <w:color w:val="000000"/>
          <w:szCs w:val="21"/>
        </w:rPr>
        <w:t>）年度は一般会計から</w:t>
      </w:r>
      <w:r w:rsidR="003E3ED7" w:rsidRPr="00870032">
        <w:rPr>
          <w:rFonts w:ascii="ＭＳ 明朝" w:hAnsi="ＭＳ 明朝" w:hint="eastAsia"/>
          <w:color w:val="000000"/>
          <w:szCs w:val="21"/>
        </w:rPr>
        <w:t>2</w:t>
      </w:r>
      <w:r w:rsidRPr="00870032">
        <w:rPr>
          <w:rFonts w:ascii="ＭＳ 明朝" w:hAnsi="ＭＳ 明朝" w:hint="eastAsia"/>
          <w:color w:val="000000"/>
          <w:szCs w:val="21"/>
        </w:rPr>
        <w:t>000万円の繰出金を支出している。公設事務所については、任期が2年となっており、人の入れ替えが激しい一方、所長等の人事が難航している関係から、各年度で入所弁護士支援金の支給対象弁護士が何人出るか不明で、年度により予期しない多額の支出が生じる恐れがある。また、公設事務所全体に対する長期貸付金残高が</w:t>
      </w:r>
      <w:r w:rsidR="00CF44AD" w:rsidRPr="00870032">
        <w:rPr>
          <w:rFonts w:ascii="ＭＳ 明朝" w:hAnsi="ＭＳ 明朝" w:hint="eastAsia"/>
          <w:color w:val="000000"/>
          <w:szCs w:val="21"/>
        </w:rPr>
        <w:t>2014（平成26）年度決算</w:t>
      </w:r>
      <w:r w:rsidRPr="00870032">
        <w:rPr>
          <w:rFonts w:ascii="ＭＳ 明朝" w:hAnsi="ＭＳ 明朝" w:hint="eastAsia"/>
          <w:color w:val="000000"/>
          <w:szCs w:val="21"/>
        </w:rPr>
        <w:t>で</w:t>
      </w:r>
      <w:r w:rsidR="00CF44AD" w:rsidRPr="00870032">
        <w:rPr>
          <w:rFonts w:ascii="ＭＳ 明朝" w:hAnsi="ＭＳ 明朝" w:hint="eastAsia"/>
          <w:color w:val="000000"/>
          <w:szCs w:val="21"/>
        </w:rPr>
        <w:t>8500</w:t>
      </w:r>
      <w:r w:rsidRPr="00870032">
        <w:rPr>
          <w:rFonts w:ascii="ＭＳ 明朝" w:hAnsi="ＭＳ 明朝" w:hint="eastAsia"/>
          <w:color w:val="000000"/>
          <w:szCs w:val="21"/>
        </w:rPr>
        <w:t>万円弱あるが、事務所経営を支える所長が頻繁に代わることから事務所の経営が安定化していないため、今後も長期貸付金が増加する恐れがある。更に、貸付金の返済については返済時期が到来した時点の法人の社員が責任を負うことになる問題もある。2013（平成25）年度に新たに外国人法律相談に特化して、東京パブリック法律事務所三田支所が</w:t>
      </w:r>
      <w:r w:rsidRPr="00870032">
        <w:rPr>
          <w:rFonts w:ascii="ＭＳ 明朝" w:hAnsi="ＭＳ 明朝" w:hint="eastAsia"/>
          <w:color w:val="000000"/>
          <w:szCs w:val="21"/>
        </w:rPr>
        <w:lastRenderedPageBreak/>
        <w:t>設立されたが、公設事務所については、その利益が直ちに東弁に還元することはないのであるから、新たな公設事務所の設置などについてはそれに伴う東弁財政への負担の程度の検証を慎重に行うべきである。</w:t>
      </w:r>
    </w:p>
    <w:p w:rsidR="001E744E" w:rsidRPr="00870032" w:rsidRDefault="001E744E" w:rsidP="00256667">
      <w:pPr>
        <w:ind w:leftChars="300" w:left="667" w:firstLineChars="100" w:firstLine="222"/>
        <w:rPr>
          <w:rFonts w:ascii="ＭＳ 明朝" w:hAnsi="ＭＳ 明朝" w:hint="eastAsia"/>
          <w:color w:val="000000"/>
          <w:szCs w:val="21"/>
        </w:rPr>
      </w:pPr>
      <w:r w:rsidRPr="00870032">
        <w:rPr>
          <w:rFonts w:ascii="ＭＳ 明朝" w:hAnsi="ＭＳ 明朝" w:hint="eastAsia"/>
          <w:color w:val="000000"/>
          <w:szCs w:val="21"/>
        </w:rPr>
        <w:t>公設事務所については、それぞれの存在意義を明確にするとともに、会への財政的な負担を考えれば、今後、公設事務所の経営の安定化を図る他、公設事務所の設置の目的を実現できる他の方法の有無や公設事務所への貸付については公設事務所運営特別委員会だけでなく財務委員会の承認を必要とする規則改正などについても検討すべきである。</w:t>
      </w:r>
    </w:p>
    <w:p w:rsidR="001E744E" w:rsidRPr="001B0E56" w:rsidRDefault="001E744E" w:rsidP="001E744E">
      <w:pPr>
        <w:rPr>
          <w:rFonts w:ascii="ＭＳ 明朝" w:hAnsi="ＭＳ 明朝" w:hint="eastAsia"/>
          <w:b/>
          <w:color w:val="000000"/>
          <w:sz w:val="24"/>
          <w:szCs w:val="24"/>
        </w:rPr>
      </w:pPr>
      <w:r w:rsidRPr="001B0E56">
        <w:rPr>
          <w:rFonts w:ascii="ＭＳ 明朝" w:hAnsi="ＭＳ 明朝" w:hint="eastAsia"/>
          <w:b/>
          <w:color w:val="000000"/>
          <w:sz w:val="24"/>
          <w:szCs w:val="24"/>
        </w:rPr>
        <w:t>（５）最後に</w:t>
      </w:r>
    </w:p>
    <w:p w:rsidR="001E744E" w:rsidRPr="00870032" w:rsidRDefault="001E744E" w:rsidP="00E6519B">
      <w:pPr>
        <w:ind w:left="445" w:hangingChars="200" w:hanging="445"/>
        <w:rPr>
          <w:rFonts w:ascii="ＭＳ 明朝" w:hAnsi="ＭＳ 明朝" w:hint="eastAsia"/>
          <w:color w:val="000000"/>
          <w:szCs w:val="21"/>
        </w:rPr>
      </w:pPr>
      <w:r w:rsidRPr="00870032">
        <w:rPr>
          <w:rFonts w:ascii="ＭＳ 明朝" w:hAnsi="ＭＳ 明朝" w:hint="eastAsia"/>
          <w:color w:val="000000"/>
          <w:szCs w:val="21"/>
        </w:rPr>
        <w:t xml:space="preserve">　　　財政の健全化のためには、会員間の情報共有化をはかり、財政を透明化するよう理事者の説明責任が果たされるべきであることはいうまでもない。そのためには、当会は以下の点を提言する。</w:t>
      </w:r>
    </w:p>
    <w:p w:rsidR="001E744E" w:rsidRPr="00870032" w:rsidRDefault="001E744E" w:rsidP="00256667">
      <w:pPr>
        <w:ind w:leftChars="100" w:left="667" w:hangingChars="200" w:hanging="445"/>
        <w:rPr>
          <w:rFonts w:ascii="ＭＳ 明朝" w:hAnsi="ＭＳ 明朝" w:hint="eastAsia"/>
          <w:color w:val="000000"/>
          <w:szCs w:val="21"/>
        </w:rPr>
      </w:pPr>
      <w:r w:rsidRPr="00870032">
        <w:rPr>
          <w:rFonts w:ascii="ＭＳ 明朝" w:hAnsi="ＭＳ 明朝" w:hint="eastAsia"/>
          <w:color w:val="000000"/>
          <w:szCs w:val="21"/>
        </w:rPr>
        <w:t xml:space="preserve">　</w:t>
      </w:r>
      <w:r w:rsidRPr="001B0E56">
        <w:rPr>
          <w:rFonts w:ascii="ＭＳ 明朝" w:hAnsi="ＭＳ 明朝" w:hint="eastAsia"/>
          <w:b/>
          <w:color w:val="000000"/>
          <w:sz w:val="24"/>
          <w:szCs w:val="24"/>
        </w:rPr>
        <w:t>①</w:t>
      </w:r>
      <w:r w:rsidRPr="00870032">
        <w:rPr>
          <w:rFonts w:ascii="ＭＳ 明朝" w:hAnsi="ＭＳ 明朝" w:hint="eastAsia"/>
          <w:color w:val="000000"/>
          <w:szCs w:val="21"/>
        </w:rPr>
        <w:t xml:space="preserve">　地方公共団体が行っているのと同じ様に、年2回会員ホームページやメールマガジンなどの方法で、東弁の財政状況を分かりやすく図又は表にして会員に開示する。</w:t>
      </w:r>
    </w:p>
    <w:p w:rsidR="001E744E" w:rsidRPr="00870032" w:rsidRDefault="001E744E" w:rsidP="00256667">
      <w:pPr>
        <w:ind w:leftChars="100" w:left="667" w:hangingChars="200" w:hanging="445"/>
        <w:rPr>
          <w:rFonts w:ascii="ＭＳ 明朝" w:hAnsi="ＭＳ 明朝" w:hint="eastAsia"/>
          <w:color w:val="000000"/>
          <w:szCs w:val="21"/>
        </w:rPr>
      </w:pPr>
      <w:r w:rsidRPr="00870032">
        <w:rPr>
          <w:rFonts w:ascii="ＭＳ 明朝" w:hAnsi="ＭＳ 明朝" w:hint="eastAsia"/>
          <w:color w:val="000000"/>
          <w:szCs w:val="21"/>
        </w:rPr>
        <w:t xml:space="preserve">　</w:t>
      </w:r>
      <w:r w:rsidRPr="001B0E56">
        <w:rPr>
          <w:rFonts w:ascii="ＭＳ 明朝" w:hAnsi="ＭＳ 明朝" w:hint="eastAsia"/>
          <w:b/>
          <w:color w:val="000000"/>
          <w:sz w:val="24"/>
          <w:szCs w:val="24"/>
        </w:rPr>
        <w:t>②</w:t>
      </w:r>
      <w:r w:rsidRPr="00870032">
        <w:rPr>
          <w:rFonts w:ascii="ＭＳ 明朝" w:hAnsi="ＭＳ 明朝" w:hint="eastAsia"/>
          <w:color w:val="000000"/>
          <w:szCs w:val="21"/>
        </w:rPr>
        <w:t xml:space="preserve">　事業計画に基づいた予算編成ができるように、次年度執行部の事業計画・予算編成会議を選挙後すぐに始め、赤字予算が常態化する悪弊を脱するべきである。201</w:t>
      </w:r>
      <w:r w:rsidR="00CF44AD" w:rsidRPr="00870032">
        <w:rPr>
          <w:rFonts w:ascii="ＭＳ 明朝" w:hAnsi="ＭＳ 明朝" w:hint="eastAsia"/>
          <w:color w:val="000000"/>
          <w:szCs w:val="21"/>
        </w:rPr>
        <w:t>4</w:t>
      </w:r>
      <w:r w:rsidRPr="00870032">
        <w:rPr>
          <w:rFonts w:ascii="ＭＳ 明朝" w:hAnsi="ＭＳ 明朝" w:hint="eastAsia"/>
          <w:color w:val="000000"/>
          <w:szCs w:val="21"/>
        </w:rPr>
        <w:t>（平成2</w:t>
      </w:r>
      <w:r w:rsidR="00CF44AD" w:rsidRPr="00870032">
        <w:rPr>
          <w:rFonts w:ascii="ＭＳ 明朝" w:hAnsi="ＭＳ 明朝" w:hint="eastAsia"/>
          <w:color w:val="000000"/>
          <w:szCs w:val="21"/>
        </w:rPr>
        <w:t>6</w:t>
      </w:r>
      <w:r w:rsidRPr="00870032">
        <w:rPr>
          <w:rFonts w:ascii="ＭＳ 明朝" w:hAnsi="ＭＳ 明朝" w:hint="eastAsia"/>
          <w:color w:val="000000"/>
          <w:szCs w:val="21"/>
        </w:rPr>
        <w:t>）年度決算では、一般会計での黒字額は約2億</w:t>
      </w:r>
      <w:r w:rsidR="00CF44AD" w:rsidRPr="00870032">
        <w:rPr>
          <w:rFonts w:ascii="ＭＳ 明朝" w:hAnsi="ＭＳ 明朝" w:hint="eastAsia"/>
          <w:color w:val="000000"/>
          <w:szCs w:val="21"/>
        </w:rPr>
        <w:t>0578</w:t>
      </w:r>
      <w:r w:rsidRPr="00870032">
        <w:rPr>
          <w:rFonts w:ascii="ＭＳ 明朝" w:hAnsi="ＭＳ 明朝" w:hint="eastAsia"/>
          <w:color w:val="000000"/>
          <w:szCs w:val="21"/>
        </w:rPr>
        <w:t>万円となり、次期繰越収支差額は約</w:t>
      </w:r>
      <w:r w:rsidR="00CF44AD" w:rsidRPr="00870032">
        <w:rPr>
          <w:rFonts w:ascii="ＭＳ 明朝" w:hAnsi="ＭＳ 明朝" w:hint="eastAsia"/>
          <w:color w:val="000000"/>
          <w:szCs w:val="21"/>
        </w:rPr>
        <w:t>14</w:t>
      </w:r>
      <w:r w:rsidRPr="00870032">
        <w:rPr>
          <w:rFonts w:ascii="ＭＳ 明朝" w:hAnsi="ＭＳ 明朝" w:hint="eastAsia"/>
          <w:color w:val="000000"/>
          <w:szCs w:val="21"/>
        </w:rPr>
        <w:t>億円である。従って、少なくとも予備費を控除した形においては、黒字である予算案の策定は十分に可能であろう。</w:t>
      </w:r>
    </w:p>
    <w:p w:rsidR="000708C6" w:rsidRPr="00870032" w:rsidRDefault="001E744E" w:rsidP="00256667">
      <w:pPr>
        <w:ind w:left="667" w:hangingChars="300" w:hanging="667"/>
        <w:rPr>
          <w:rFonts w:ascii="ＭＳ 明朝" w:hAnsi="ＭＳ 明朝"/>
          <w:color w:val="000000"/>
          <w:szCs w:val="21"/>
        </w:rPr>
      </w:pPr>
      <w:r w:rsidRPr="00870032">
        <w:rPr>
          <w:rFonts w:ascii="ＭＳ 明朝" w:hAnsi="ＭＳ 明朝" w:hint="eastAsia"/>
          <w:color w:val="000000"/>
          <w:szCs w:val="21"/>
        </w:rPr>
        <w:t xml:space="preserve">　</w:t>
      </w:r>
      <w:r w:rsidR="00256667" w:rsidRPr="00870032">
        <w:rPr>
          <w:rFonts w:ascii="ＭＳ 明朝" w:hAnsi="ＭＳ 明朝" w:hint="eastAsia"/>
          <w:color w:val="000000"/>
          <w:szCs w:val="21"/>
        </w:rPr>
        <w:t xml:space="preserve">　</w:t>
      </w:r>
      <w:r w:rsidRPr="001B0E56">
        <w:rPr>
          <w:rFonts w:ascii="ＭＳ 明朝" w:hAnsi="ＭＳ 明朝" w:hint="eastAsia"/>
          <w:b/>
          <w:color w:val="000000"/>
          <w:sz w:val="24"/>
          <w:szCs w:val="24"/>
        </w:rPr>
        <w:t>③</w:t>
      </w:r>
      <w:r w:rsidRPr="00870032">
        <w:rPr>
          <w:rFonts w:ascii="ＭＳ 明朝" w:hAnsi="ＭＳ 明朝" w:hint="eastAsia"/>
          <w:color w:val="000000"/>
          <w:szCs w:val="21"/>
        </w:rPr>
        <w:t xml:space="preserve">　定期総会の予算・決算で充実した審議ができるように、事前に質問書を理事者に送付して、理事者が総会当日に</w:t>
      </w:r>
      <w:r w:rsidR="00E6519B" w:rsidRPr="00870032">
        <w:rPr>
          <w:rFonts w:ascii="ＭＳ 明朝" w:hAnsi="ＭＳ 明朝" w:hint="eastAsia"/>
          <w:color w:val="000000"/>
          <w:szCs w:val="21"/>
        </w:rPr>
        <w:t>的</w:t>
      </w:r>
      <w:r w:rsidRPr="00870032">
        <w:rPr>
          <w:rFonts w:ascii="ＭＳ 明朝" w:hAnsi="ＭＳ 明朝" w:hint="eastAsia"/>
          <w:color w:val="000000"/>
          <w:szCs w:val="21"/>
        </w:rPr>
        <w:t>確に回答できるようにする事前質問告知制度も検討されるべきである。</w:t>
      </w:r>
    </w:p>
    <w:sectPr w:rsidR="000708C6" w:rsidRPr="00870032" w:rsidSect="00F57D6A">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EE" w:rsidRDefault="006565EE" w:rsidP="00B4145A">
      <w:r>
        <w:separator/>
      </w:r>
    </w:p>
  </w:endnote>
  <w:endnote w:type="continuationSeparator" w:id="0">
    <w:p w:rsidR="006565EE" w:rsidRDefault="006565EE" w:rsidP="00B4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EE" w:rsidRDefault="006565EE" w:rsidP="00B4145A">
      <w:r>
        <w:separator/>
      </w:r>
    </w:p>
  </w:footnote>
  <w:footnote w:type="continuationSeparator" w:id="0">
    <w:p w:rsidR="006565EE" w:rsidRDefault="006565EE" w:rsidP="00B41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1"/>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44E"/>
    <w:rsid w:val="000708C6"/>
    <w:rsid w:val="000C0A70"/>
    <w:rsid w:val="000F3F67"/>
    <w:rsid w:val="001B0E56"/>
    <w:rsid w:val="001E5CDE"/>
    <w:rsid w:val="001E744E"/>
    <w:rsid w:val="00256667"/>
    <w:rsid w:val="00366ABC"/>
    <w:rsid w:val="00392C79"/>
    <w:rsid w:val="003E3ED7"/>
    <w:rsid w:val="003E4AFA"/>
    <w:rsid w:val="004729B1"/>
    <w:rsid w:val="00475732"/>
    <w:rsid w:val="004D3168"/>
    <w:rsid w:val="00513ED1"/>
    <w:rsid w:val="005661D3"/>
    <w:rsid w:val="005A6387"/>
    <w:rsid w:val="00604150"/>
    <w:rsid w:val="006565EE"/>
    <w:rsid w:val="0068271D"/>
    <w:rsid w:val="00691FCC"/>
    <w:rsid w:val="00726DB8"/>
    <w:rsid w:val="007F5D69"/>
    <w:rsid w:val="00870032"/>
    <w:rsid w:val="00893F2A"/>
    <w:rsid w:val="00984230"/>
    <w:rsid w:val="00A25ABB"/>
    <w:rsid w:val="00A80912"/>
    <w:rsid w:val="00AC3737"/>
    <w:rsid w:val="00B4145A"/>
    <w:rsid w:val="00B443F4"/>
    <w:rsid w:val="00BB7F85"/>
    <w:rsid w:val="00C27AD9"/>
    <w:rsid w:val="00CD6699"/>
    <w:rsid w:val="00CF44AD"/>
    <w:rsid w:val="00D22661"/>
    <w:rsid w:val="00D86E06"/>
    <w:rsid w:val="00E6519B"/>
    <w:rsid w:val="00EC6CB6"/>
    <w:rsid w:val="00F23C8B"/>
    <w:rsid w:val="00F5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97A7206-17DE-4546-93EB-D668F59D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45A"/>
    <w:pPr>
      <w:tabs>
        <w:tab w:val="center" w:pos="4252"/>
        <w:tab w:val="right" w:pos="8504"/>
      </w:tabs>
      <w:snapToGrid w:val="0"/>
    </w:pPr>
  </w:style>
  <w:style w:type="character" w:customStyle="1" w:styleId="a4">
    <w:name w:val="ヘッダー (文字)"/>
    <w:link w:val="a3"/>
    <w:uiPriority w:val="99"/>
    <w:rsid w:val="00B4145A"/>
    <w:rPr>
      <w:kern w:val="2"/>
      <w:sz w:val="21"/>
      <w:szCs w:val="22"/>
    </w:rPr>
  </w:style>
  <w:style w:type="paragraph" w:styleId="a5">
    <w:name w:val="footer"/>
    <w:basedOn w:val="a"/>
    <w:link w:val="a6"/>
    <w:uiPriority w:val="99"/>
    <w:unhideWhenUsed/>
    <w:rsid w:val="00B4145A"/>
    <w:pPr>
      <w:tabs>
        <w:tab w:val="center" w:pos="4252"/>
        <w:tab w:val="right" w:pos="8504"/>
      </w:tabs>
      <w:snapToGrid w:val="0"/>
    </w:pPr>
  </w:style>
  <w:style w:type="character" w:customStyle="1" w:styleId="a6">
    <w:name w:val="フッター (文字)"/>
    <w:link w:val="a5"/>
    <w:uiPriority w:val="99"/>
    <w:rsid w:val="00B4145A"/>
    <w:rPr>
      <w:kern w:val="2"/>
      <w:sz w:val="21"/>
      <w:szCs w:val="22"/>
    </w:rPr>
  </w:style>
  <w:style w:type="paragraph" w:styleId="a7">
    <w:name w:val="Balloon Text"/>
    <w:basedOn w:val="a"/>
    <w:link w:val="a8"/>
    <w:uiPriority w:val="99"/>
    <w:semiHidden/>
    <w:unhideWhenUsed/>
    <w:rsid w:val="00513ED1"/>
    <w:rPr>
      <w:rFonts w:ascii="Arial" w:eastAsia="ＭＳ ゴシック" w:hAnsi="Arial"/>
      <w:sz w:val="18"/>
      <w:szCs w:val="18"/>
    </w:rPr>
  </w:style>
  <w:style w:type="character" w:customStyle="1" w:styleId="a8">
    <w:name w:val="吹き出し (文字)"/>
    <w:link w:val="a7"/>
    <w:uiPriority w:val="99"/>
    <w:semiHidden/>
    <w:rsid w:val="00513ED1"/>
    <w:rPr>
      <w:rFonts w:ascii="Arial" w:eastAsia="ＭＳ ゴシック" w:hAnsi="Arial" w:cs="Times New Roman"/>
      <w:kern w:val="2"/>
      <w:sz w:val="18"/>
      <w:szCs w:val="18"/>
    </w:rPr>
  </w:style>
  <w:style w:type="character" w:styleId="a9">
    <w:name w:val="annotation reference"/>
    <w:uiPriority w:val="99"/>
    <w:semiHidden/>
    <w:unhideWhenUsed/>
    <w:rsid w:val="00A80912"/>
    <w:rPr>
      <w:sz w:val="18"/>
      <w:szCs w:val="18"/>
    </w:rPr>
  </w:style>
  <w:style w:type="paragraph" w:styleId="aa">
    <w:name w:val="annotation text"/>
    <w:basedOn w:val="a"/>
    <w:link w:val="ab"/>
    <w:uiPriority w:val="99"/>
    <w:semiHidden/>
    <w:unhideWhenUsed/>
    <w:rsid w:val="00A80912"/>
    <w:pPr>
      <w:jc w:val="left"/>
    </w:pPr>
  </w:style>
  <w:style w:type="character" w:customStyle="1" w:styleId="ab">
    <w:name w:val="コメント文字列 (文字)"/>
    <w:link w:val="aa"/>
    <w:uiPriority w:val="99"/>
    <w:semiHidden/>
    <w:rsid w:val="00A80912"/>
    <w:rPr>
      <w:kern w:val="2"/>
      <w:sz w:val="21"/>
      <w:szCs w:val="22"/>
    </w:rPr>
  </w:style>
  <w:style w:type="paragraph" w:styleId="ac">
    <w:name w:val="annotation subject"/>
    <w:basedOn w:val="aa"/>
    <w:next w:val="aa"/>
    <w:link w:val="ad"/>
    <w:uiPriority w:val="99"/>
    <w:semiHidden/>
    <w:unhideWhenUsed/>
    <w:rsid w:val="00A80912"/>
    <w:rPr>
      <w:b/>
      <w:bCs/>
    </w:rPr>
  </w:style>
  <w:style w:type="character" w:customStyle="1" w:styleId="ad">
    <w:name w:val="コメント内容 (文字)"/>
    <w:link w:val="ac"/>
    <w:uiPriority w:val="99"/>
    <w:semiHidden/>
    <w:rsid w:val="00A8091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康章</dc:creator>
  <cp:keywords/>
  <cp:lastModifiedBy>小野寺 淳</cp:lastModifiedBy>
  <cp:revision>2</cp:revision>
  <cp:lastPrinted>2015-10-02T08:13:00Z</cp:lastPrinted>
  <dcterms:created xsi:type="dcterms:W3CDTF">2016-01-13T01:12:00Z</dcterms:created>
  <dcterms:modified xsi:type="dcterms:W3CDTF">2016-01-13T01:12:00Z</dcterms:modified>
</cp:coreProperties>
</file>