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9B42E" w14:textId="55B8005F" w:rsidR="0012130F" w:rsidRPr="00BD62AB" w:rsidRDefault="00BD62AB" w:rsidP="003B613E">
      <w:pPr>
        <w:rPr>
          <w:rFonts w:asciiTheme="minorEastAsia" w:hAnsiTheme="minorEastAsia" w:cs="ＭＳ 明朝"/>
          <w:b/>
          <w:color w:val="000000"/>
          <w:kern w:val="0"/>
          <w:sz w:val="24"/>
          <w:szCs w:val="24"/>
        </w:rPr>
      </w:pPr>
      <w:bookmarkStart w:id="0" w:name="_GoBack"/>
      <w:bookmarkEnd w:id="0"/>
      <w:r w:rsidRPr="00BD62AB">
        <w:rPr>
          <w:rFonts w:asciiTheme="minorEastAsia" w:hAnsiTheme="minorEastAsia" w:hint="eastAsia"/>
          <w:b/>
          <w:sz w:val="24"/>
          <w:szCs w:val="24"/>
        </w:rPr>
        <w:t>３</w:t>
      </w:r>
      <w:r w:rsidR="003B613E" w:rsidRPr="00BD62AB">
        <w:rPr>
          <w:rFonts w:asciiTheme="minorEastAsia" w:hAnsiTheme="minorEastAsia" w:hint="eastAsia"/>
          <w:b/>
          <w:sz w:val="24"/>
          <w:szCs w:val="24"/>
        </w:rPr>
        <w:t xml:space="preserve">　</w:t>
      </w:r>
      <w:r w:rsidR="005E45B2" w:rsidRPr="00BD62AB">
        <w:rPr>
          <w:rFonts w:asciiTheme="minorEastAsia" w:hAnsiTheme="minorEastAsia" w:cs="ＭＳ 明朝" w:hint="eastAsia"/>
          <w:b/>
          <w:color w:val="000000"/>
          <w:kern w:val="0"/>
          <w:sz w:val="24"/>
          <w:szCs w:val="24"/>
        </w:rPr>
        <w:t>刑事司法改革</w:t>
      </w:r>
    </w:p>
    <w:p w14:paraId="406AC1B3" w14:textId="77777777" w:rsidR="008B422E" w:rsidRPr="008B422E" w:rsidRDefault="008B422E" w:rsidP="008B422E">
      <w:pPr>
        <w:suppressAutoHyphens/>
        <w:ind w:firstLineChars="100" w:firstLine="223"/>
        <w:textAlignment w:val="baseline"/>
        <w:rPr>
          <w:rFonts w:asciiTheme="minorEastAsia" w:hAnsiTheme="minorEastAsia" w:cs="Times New Roman"/>
          <w:spacing w:val="6"/>
          <w:kern w:val="0"/>
          <w:szCs w:val="21"/>
        </w:rPr>
      </w:pPr>
      <w:r w:rsidRPr="008B422E">
        <w:rPr>
          <w:rFonts w:asciiTheme="minorEastAsia" w:hAnsiTheme="minorEastAsia" w:cs="ＭＳ 明朝" w:hint="eastAsia"/>
          <w:kern w:val="0"/>
          <w:szCs w:val="21"/>
        </w:rPr>
        <w:t>2015（平成</w:t>
      </w:r>
      <w:r w:rsidRPr="008B422E">
        <w:rPr>
          <w:rFonts w:asciiTheme="minorEastAsia" w:hAnsiTheme="minorEastAsia" w:cs="Century" w:hint="eastAsia"/>
          <w:kern w:val="0"/>
          <w:szCs w:val="21"/>
        </w:rPr>
        <w:t>27）</w:t>
      </w:r>
      <w:r w:rsidRPr="008B422E">
        <w:rPr>
          <w:rFonts w:asciiTheme="minorEastAsia" w:hAnsiTheme="minorEastAsia" w:cs="ＭＳ 明朝" w:hint="eastAsia"/>
          <w:kern w:val="0"/>
          <w:szCs w:val="21"/>
        </w:rPr>
        <w:t>年の通常国会に、刑訴法等の改正法案が提出され、衆議院で決議された後、参議院に送られたものの継続審議となり、2016（平成</w:t>
      </w:r>
      <w:r w:rsidRPr="008B422E">
        <w:rPr>
          <w:rFonts w:asciiTheme="minorEastAsia" w:hAnsiTheme="minorEastAsia" w:cs="Century" w:hint="eastAsia"/>
          <w:kern w:val="0"/>
          <w:szCs w:val="21"/>
        </w:rPr>
        <w:t>28）</w:t>
      </w:r>
      <w:r w:rsidRPr="008B422E">
        <w:rPr>
          <w:rFonts w:asciiTheme="minorEastAsia" w:hAnsiTheme="minorEastAsia" w:cs="ＭＳ 明朝" w:hint="eastAsia"/>
          <w:kern w:val="0"/>
          <w:szCs w:val="21"/>
        </w:rPr>
        <w:t>年の通常国会で成立する見込みとされている。</w:t>
      </w:r>
    </w:p>
    <w:p w14:paraId="5A95D2B5" w14:textId="77777777" w:rsidR="008B422E" w:rsidRPr="008B422E" w:rsidRDefault="008B422E" w:rsidP="008B422E">
      <w:pPr>
        <w:suppressAutoHyphens/>
        <w:textAlignment w:val="baseline"/>
        <w:rPr>
          <w:rFonts w:asciiTheme="minorEastAsia" w:hAnsiTheme="minorEastAsia" w:cs="Times New Roman"/>
          <w:spacing w:val="6"/>
          <w:kern w:val="0"/>
          <w:szCs w:val="21"/>
        </w:rPr>
      </w:pPr>
      <w:r w:rsidRPr="008B422E">
        <w:rPr>
          <w:rFonts w:asciiTheme="minorEastAsia" w:hAnsiTheme="minorEastAsia" w:cs="ＭＳ 明朝" w:hint="eastAsia"/>
          <w:kern w:val="0"/>
          <w:szCs w:val="21"/>
        </w:rPr>
        <w:t xml:space="preserve">　この刑訴法等の改正法案は、取調べの録音・録画制度や被疑者国選弁護制度の拡充などが含まれる反面、司法取引制度（証拠収集等への協力及び訴追に関する合意制度）や刑事免責制度が含まれており、今後の刑事司法制度が大きく変容する可能性があるものである。</w:t>
      </w:r>
    </w:p>
    <w:p w14:paraId="40C14C0F" w14:textId="77777777" w:rsidR="008B422E" w:rsidRPr="008B422E" w:rsidRDefault="008B422E" w:rsidP="008B422E">
      <w:pPr>
        <w:suppressAutoHyphens/>
        <w:textAlignment w:val="baseline"/>
        <w:rPr>
          <w:rFonts w:asciiTheme="minorEastAsia" w:hAnsiTheme="minorEastAsia" w:cs="Times New Roman"/>
          <w:spacing w:val="6"/>
          <w:kern w:val="0"/>
          <w:szCs w:val="21"/>
        </w:rPr>
      </w:pPr>
      <w:r w:rsidRPr="008B422E">
        <w:rPr>
          <w:rFonts w:asciiTheme="minorEastAsia" w:hAnsiTheme="minorEastAsia" w:cs="ＭＳ 明朝" w:hint="eastAsia"/>
          <w:kern w:val="0"/>
          <w:szCs w:val="21"/>
        </w:rPr>
        <w:t xml:space="preserve">　取調べの録音・録画制度は、取調べの可視化に繋がり取調べの適正化を図ることができる制度であるが、広範な例外事由が存在していること、録音・録画の対象となる事件の範囲が裁判員裁判対象事件と検察官の独自捜査事件に限られていること、録音・録画の対象となる者が被疑者に限られていることなど様々な問題点がある。</w:t>
      </w:r>
    </w:p>
    <w:p w14:paraId="528FC147" w14:textId="77777777" w:rsidR="008B422E" w:rsidRPr="008B422E" w:rsidRDefault="008B422E" w:rsidP="008B422E">
      <w:pPr>
        <w:suppressAutoHyphens/>
        <w:textAlignment w:val="baseline"/>
        <w:rPr>
          <w:rFonts w:asciiTheme="minorEastAsia" w:hAnsiTheme="minorEastAsia" w:cs="Times New Roman"/>
          <w:spacing w:val="6"/>
          <w:kern w:val="0"/>
          <w:szCs w:val="21"/>
        </w:rPr>
      </w:pPr>
      <w:r w:rsidRPr="008B422E">
        <w:rPr>
          <w:rFonts w:asciiTheme="minorEastAsia" w:hAnsiTheme="minorEastAsia" w:cs="ＭＳ 明朝" w:hint="eastAsia"/>
          <w:kern w:val="0"/>
          <w:szCs w:val="21"/>
        </w:rPr>
        <w:t xml:space="preserve">　司法取引制度は、検察官が、被疑者・被告人及び弁護人との間で協議して、被疑者・被告人が取調べにおいて真実の供述をするなど捜査・公判に協力することを、検察官が不起訴や一定の求刑をすることを合意する制度である。刑事免責制度は、裁判所の決定（免責決定）により、証人尋問で得られた供述等を、当該証人に対して不利益な証拠とすることを禁止して、自己負罪拒否特権を消滅させて証言を強制する制度である。</w:t>
      </w:r>
    </w:p>
    <w:p w14:paraId="6FF694DC" w14:textId="77777777" w:rsidR="008B422E" w:rsidRPr="008B422E" w:rsidRDefault="008B422E" w:rsidP="008B422E">
      <w:pPr>
        <w:suppressAutoHyphens/>
        <w:textAlignment w:val="baseline"/>
        <w:rPr>
          <w:rFonts w:asciiTheme="minorEastAsia" w:hAnsiTheme="minorEastAsia" w:cs="Times New Roman"/>
          <w:spacing w:val="6"/>
          <w:kern w:val="0"/>
          <w:szCs w:val="21"/>
        </w:rPr>
      </w:pPr>
      <w:r w:rsidRPr="008B422E">
        <w:rPr>
          <w:rFonts w:asciiTheme="minorEastAsia" w:hAnsiTheme="minorEastAsia" w:cs="ＭＳ 明朝" w:hint="eastAsia"/>
          <w:kern w:val="0"/>
          <w:szCs w:val="21"/>
        </w:rPr>
        <w:t xml:space="preserve">　司法取引制度及び刑事免責制度は、いずれも取調べへの過度の依存を改めるためなどの方法として導入された制度であるが、いずれの制度も、共犯者の引き込み供述や責任転嫁の供述を誘発するおそれのある制度であるうえ、司法取引制度においては、合意には弁護人が必要的に関与するものの、被疑者・被告人の供述の信用性を担保できるものではないと考えられるなどの問題点が、また、刑事免責制度では、免責される証拠の範囲が必ずしも明確でないなどの問題点がある。</w:t>
      </w:r>
    </w:p>
    <w:p w14:paraId="61B9B47B" w14:textId="77777777" w:rsidR="008B422E" w:rsidRPr="008B422E" w:rsidRDefault="008B422E" w:rsidP="008B422E">
      <w:pPr>
        <w:suppressAutoHyphens/>
        <w:ind w:left="6" w:firstLineChars="100" w:firstLine="235"/>
        <w:textAlignment w:val="baseline"/>
        <w:rPr>
          <w:rFonts w:asciiTheme="minorEastAsia" w:hAnsiTheme="minorEastAsia" w:cs="Times New Roman"/>
          <w:spacing w:val="6"/>
          <w:kern w:val="0"/>
          <w:szCs w:val="21"/>
        </w:rPr>
      </w:pPr>
      <w:r w:rsidRPr="008B422E">
        <w:rPr>
          <w:rFonts w:asciiTheme="minorEastAsia" w:hAnsiTheme="minorEastAsia" w:cs="Times New Roman" w:hint="eastAsia"/>
          <w:spacing w:val="6"/>
          <w:kern w:val="0"/>
          <w:szCs w:val="21"/>
        </w:rPr>
        <w:t>弁護人としては、取調べの録音・録画制度が捜査機関によって恣意的運用がなされないよう、細心の注意を払っていかなければならないし、将来全事件の可視化の実現を目指して、実務の現場において、対象外事件についても、捜査機関に対し、積極的に可視化を要求するなどの地道な努力が必要である。また、司法取引制度や刑事免責制度についても、誤判の原因とならないよう、関係者の供述の信用性には格別の配慮をするなど慎重な対応が必要である。</w:t>
      </w:r>
    </w:p>
    <w:p w14:paraId="09284AAF" w14:textId="77777777" w:rsidR="008B422E" w:rsidRPr="008B422E" w:rsidRDefault="008B422E" w:rsidP="003B613E">
      <w:pPr>
        <w:rPr>
          <w:rFonts w:asciiTheme="minorEastAsia" w:hAnsiTheme="minorEastAsia" w:cs="Times New Roman"/>
          <w:color w:val="000000"/>
          <w:spacing w:val="6"/>
          <w:kern w:val="0"/>
          <w:sz w:val="24"/>
          <w:szCs w:val="24"/>
        </w:rPr>
      </w:pPr>
    </w:p>
    <w:p w14:paraId="73D2D430" w14:textId="534CB69E" w:rsidR="0012130F" w:rsidRPr="00BD62AB" w:rsidRDefault="00A3118C" w:rsidP="00E005D6">
      <w:pPr>
        <w:suppressAutoHyphens/>
        <w:ind w:left="6"/>
        <w:textAlignment w:val="baseline"/>
        <w:rPr>
          <w:rFonts w:asciiTheme="minorEastAsia" w:hAnsiTheme="minorEastAsia" w:cs="Times New Roman"/>
          <w:b/>
          <w:color w:val="000000"/>
          <w:spacing w:val="6"/>
          <w:kern w:val="0"/>
          <w:sz w:val="24"/>
          <w:szCs w:val="24"/>
        </w:rPr>
      </w:pPr>
      <w:r w:rsidRPr="00BD62AB">
        <w:rPr>
          <w:rFonts w:asciiTheme="minorEastAsia" w:hAnsiTheme="minorEastAsia" w:cs="ＭＳ 明朝" w:hint="eastAsia"/>
          <w:b/>
          <w:bCs/>
          <w:color w:val="000000"/>
          <w:kern w:val="0"/>
          <w:sz w:val="24"/>
          <w:szCs w:val="24"/>
        </w:rPr>
        <w:t>(1)</w:t>
      </w:r>
      <w:r w:rsidR="0012130F" w:rsidRPr="00BD62AB">
        <w:rPr>
          <w:rFonts w:asciiTheme="minorEastAsia" w:hAnsiTheme="minorEastAsia" w:cs="ＭＳ 明朝" w:hint="eastAsia"/>
          <w:b/>
          <w:bCs/>
          <w:color w:val="000000"/>
          <w:kern w:val="0"/>
          <w:sz w:val="24"/>
          <w:szCs w:val="24"/>
        </w:rPr>
        <w:t xml:space="preserve">　刑事司法改革</w:t>
      </w:r>
      <w:r w:rsidR="00E005D6" w:rsidRPr="00BD62AB">
        <w:rPr>
          <w:rFonts w:asciiTheme="minorEastAsia" w:hAnsiTheme="minorEastAsia" w:cs="ＭＳ 明朝" w:hint="eastAsia"/>
          <w:b/>
          <w:bCs/>
          <w:color w:val="000000"/>
          <w:kern w:val="0"/>
          <w:sz w:val="24"/>
          <w:szCs w:val="24"/>
        </w:rPr>
        <w:t>－</w:t>
      </w:r>
      <w:r w:rsidR="00352697" w:rsidRPr="00BD62AB">
        <w:rPr>
          <w:rFonts w:asciiTheme="minorEastAsia" w:hAnsiTheme="minorEastAsia" w:cs="ＭＳ 明朝" w:hint="eastAsia"/>
          <w:b/>
          <w:bCs/>
          <w:color w:val="000000"/>
          <w:kern w:val="0"/>
          <w:sz w:val="24"/>
          <w:szCs w:val="24"/>
        </w:rPr>
        <w:t xml:space="preserve"> </w:t>
      </w:r>
      <w:r w:rsidR="0012130F" w:rsidRPr="00BD62AB">
        <w:rPr>
          <w:rFonts w:asciiTheme="minorEastAsia" w:hAnsiTheme="minorEastAsia" w:cs="ＭＳ 明朝" w:hint="eastAsia"/>
          <w:b/>
          <w:bCs/>
          <w:color w:val="000000"/>
          <w:kern w:val="0"/>
          <w:sz w:val="24"/>
          <w:szCs w:val="24"/>
        </w:rPr>
        <w:t>刑訴法改正への概要</w:t>
      </w:r>
      <w:r w:rsidR="00E005D6" w:rsidRPr="00BD62AB">
        <w:rPr>
          <w:rFonts w:asciiTheme="minorEastAsia" w:hAnsiTheme="minorEastAsia" w:cs="ＭＳ 明朝" w:hint="eastAsia"/>
          <w:b/>
          <w:bCs/>
          <w:color w:val="000000"/>
          <w:kern w:val="0"/>
          <w:sz w:val="24"/>
          <w:szCs w:val="24"/>
        </w:rPr>
        <w:t>－</w:t>
      </w:r>
    </w:p>
    <w:p w14:paraId="4664E1B7" w14:textId="77777777" w:rsidR="00352697" w:rsidRPr="00A3118C" w:rsidRDefault="00352697" w:rsidP="0012130F">
      <w:pPr>
        <w:suppressAutoHyphens/>
        <w:ind w:left="444" w:hanging="444"/>
        <w:textAlignment w:val="baseline"/>
        <w:rPr>
          <w:rFonts w:asciiTheme="minorEastAsia" w:hAnsiTheme="minorEastAsia" w:cs="ＭＳ 明朝"/>
          <w:color w:val="000000"/>
          <w:kern w:val="0"/>
          <w:szCs w:val="21"/>
        </w:rPr>
      </w:pPr>
      <w:r w:rsidRPr="00A3118C">
        <w:rPr>
          <w:rFonts w:asciiTheme="minorEastAsia" w:hAnsiTheme="minorEastAsia" w:cs="ＭＳ 明朝" w:hint="eastAsia"/>
          <w:color w:val="000000"/>
          <w:kern w:val="0"/>
          <w:szCs w:val="21"/>
        </w:rPr>
        <w:t xml:space="preserve">　　</w:t>
      </w:r>
      <w:r w:rsidR="001A590E" w:rsidRPr="00A3118C">
        <w:rPr>
          <w:rFonts w:asciiTheme="minorEastAsia" w:hAnsiTheme="minorEastAsia" w:cs="ＭＳ 明朝" w:hint="eastAsia"/>
          <w:color w:val="000000"/>
          <w:kern w:val="0"/>
          <w:szCs w:val="21"/>
        </w:rPr>
        <w:t>2014（</w:t>
      </w:r>
      <w:r w:rsidR="0012130F" w:rsidRPr="00A3118C">
        <w:rPr>
          <w:rFonts w:asciiTheme="minorEastAsia" w:hAnsiTheme="minorEastAsia" w:cs="ＭＳ 明朝" w:hint="eastAsia"/>
          <w:color w:val="000000"/>
          <w:kern w:val="0"/>
          <w:szCs w:val="21"/>
        </w:rPr>
        <w:t>平成</w:t>
      </w:r>
      <w:r w:rsidR="0012130F" w:rsidRPr="00A3118C">
        <w:rPr>
          <w:rFonts w:asciiTheme="minorEastAsia" w:hAnsiTheme="minorEastAsia" w:cs="Century"/>
          <w:color w:val="000000"/>
          <w:kern w:val="0"/>
          <w:szCs w:val="21"/>
        </w:rPr>
        <w:t>26</w:t>
      </w:r>
      <w:r w:rsidR="001A590E" w:rsidRPr="00A3118C">
        <w:rPr>
          <w:rFonts w:asciiTheme="minorEastAsia" w:hAnsiTheme="minorEastAsia" w:cs="Century" w:hint="eastAsia"/>
          <w:color w:val="000000"/>
          <w:kern w:val="0"/>
          <w:szCs w:val="21"/>
        </w:rPr>
        <w:t>）</w:t>
      </w:r>
      <w:r w:rsidR="0012130F" w:rsidRPr="00A3118C">
        <w:rPr>
          <w:rFonts w:asciiTheme="minorEastAsia" w:hAnsiTheme="minorEastAsia" w:cs="ＭＳ 明朝" w:hint="eastAsia"/>
          <w:color w:val="000000"/>
          <w:kern w:val="0"/>
          <w:szCs w:val="21"/>
        </w:rPr>
        <w:t>年</w:t>
      </w:r>
      <w:r w:rsidR="0012130F" w:rsidRPr="00A3118C">
        <w:rPr>
          <w:rFonts w:asciiTheme="minorEastAsia" w:hAnsiTheme="minorEastAsia" w:cs="Century"/>
          <w:color w:val="000000"/>
          <w:kern w:val="0"/>
          <w:szCs w:val="21"/>
        </w:rPr>
        <w:t>9</w:t>
      </w:r>
      <w:r w:rsidR="0012130F" w:rsidRPr="00A3118C">
        <w:rPr>
          <w:rFonts w:asciiTheme="minorEastAsia" w:hAnsiTheme="minorEastAsia" w:cs="ＭＳ 明朝" w:hint="eastAsia"/>
          <w:color w:val="000000"/>
          <w:kern w:val="0"/>
          <w:szCs w:val="21"/>
        </w:rPr>
        <w:t>月、法制審議会において、「新たな刑事司法制度の構築についての調</w:t>
      </w:r>
    </w:p>
    <w:p w14:paraId="7A233A82" w14:textId="2733F2E9" w:rsidR="0012130F" w:rsidRPr="00A3118C" w:rsidRDefault="0012130F" w:rsidP="00352697">
      <w:pPr>
        <w:suppressAutoHyphens/>
        <w:ind w:leftChars="100" w:left="223"/>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査審議の結果」が承認され、それに沿った内容の刑訴法等の改正法案が、平成</w:t>
      </w:r>
      <w:r w:rsidRPr="00A3118C">
        <w:rPr>
          <w:rFonts w:asciiTheme="minorEastAsia" w:hAnsiTheme="minorEastAsia" w:cs="Century"/>
          <w:color w:val="000000"/>
          <w:kern w:val="0"/>
          <w:szCs w:val="21"/>
        </w:rPr>
        <w:t>27</w:t>
      </w:r>
      <w:r w:rsidRPr="00A3118C">
        <w:rPr>
          <w:rFonts w:asciiTheme="minorEastAsia" w:hAnsiTheme="minorEastAsia" w:cs="ＭＳ 明朝" w:hint="eastAsia"/>
          <w:color w:val="000000"/>
          <w:kern w:val="0"/>
          <w:szCs w:val="21"/>
        </w:rPr>
        <w:t>年度の通常国会に提出された。同改正法案は、平成</w:t>
      </w:r>
      <w:r w:rsidRPr="00A3118C">
        <w:rPr>
          <w:rFonts w:asciiTheme="minorEastAsia" w:hAnsiTheme="minorEastAsia" w:cs="Century"/>
          <w:color w:val="000000"/>
          <w:kern w:val="0"/>
          <w:szCs w:val="21"/>
        </w:rPr>
        <w:t>27</w:t>
      </w:r>
      <w:r w:rsidRPr="00A3118C">
        <w:rPr>
          <w:rFonts w:asciiTheme="minorEastAsia" w:hAnsiTheme="minorEastAsia" w:cs="ＭＳ 明朝" w:hint="eastAsia"/>
          <w:color w:val="000000"/>
          <w:kern w:val="0"/>
          <w:szCs w:val="21"/>
        </w:rPr>
        <w:t>年</w:t>
      </w:r>
      <w:r w:rsidRPr="00A3118C">
        <w:rPr>
          <w:rFonts w:asciiTheme="minorEastAsia" w:hAnsiTheme="minorEastAsia" w:cs="Century"/>
          <w:color w:val="000000"/>
          <w:kern w:val="0"/>
          <w:szCs w:val="21"/>
        </w:rPr>
        <w:t>8</w:t>
      </w:r>
      <w:r w:rsidRPr="00A3118C">
        <w:rPr>
          <w:rFonts w:asciiTheme="minorEastAsia" w:hAnsiTheme="minorEastAsia" w:cs="ＭＳ 明朝" w:hint="eastAsia"/>
          <w:color w:val="000000"/>
          <w:kern w:val="0"/>
          <w:szCs w:val="21"/>
        </w:rPr>
        <w:t>月に衆議院により決議され、参議院に送られたが、安保法制の影響により審議未了で継続審議とされ、平成</w:t>
      </w:r>
      <w:r w:rsidRPr="00A3118C">
        <w:rPr>
          <w:rFonts w:asciiTheme="minorEastAsia" w:hAnsiTheme="minorEastAsia" w:cs="Century"/>
          <w:color w:val="000000"/>
          <w:kern w:val="0"/>
          <w:szCs w:val="21"/>
        </w:rPr>
        <w:t>28</w:t>
      </w:r>
      <w:r w:rsidRPr="00A3118C">
        <w:rPr>
          <w:rFonts w:asciiTheme="minorEastAsia" w:hAnsiTheme="minorEastAsia" w:cs="ＭＳ 明朝" w:hint="eastAsia"/>
          <w:color w:val="000000"/>
          <w:kern w:val="0"/>
          <w:szCs w:val="21"/>
        </w:rPr>
        <w:t>年度の通常国会で審議され、成立する見込みとされている。</w:t>
      </w:r>
    </w:p>
    <w:p w14:paraId="7F16BFCB" w14:textId="77777777" w:rsidR="00352697" w:rsidRPr="00A3118C" w:rsidRDefault="00352697" w:rsidP="0012130F">
      <w:pPr>
        <w:suppressAutoHyphens/>
        <w:ind w:left="444" w:hanging="444"/>
        <w:textAlignment w:val="baseline"/>
        <w:rPr>
          <w:rFonts w:asciiTheme="minorEastAsia" w:hAnsiTheme="minorEastAsia" w:cs="ＭＳ 明朝"/>
          <w:color w:val="000000"/>
          <w:kern w:val="0"/>
          <w:szCs w:val="21"/>
        </w:rPr>
      </w:pPr>
      <w:r w:rsidRPr="00A3118C">
        <w:rPr>
          <w:rFonts w:asciiTheme="minorEastAsia" w:hAnsiTheme="minorEastAsia" w:cs="ＭＳ 明朝" w:hint="eastAsia"/>
          <w:color w:val="000000"/>
          <w:kern w:val="0"/>
          <w:szCs w:val="21"/>
        </w:rPr>
        <w:t xml:space="preserve">　　</w:t>
      </w:r>
      <w:r w:rsidR="0012130F" w:rsidRPr="00A3118C">
        <w:rPr>
          <w:rFonts w:asciiTheme="minorEastAsia" w:hAnsiTheme="minorEastAsia" w:cs="ＭＳ 明朝" w:hint="eastAsia"/>
          <w:color w:val="000000"/>
          <w:kern w:val="0"/>
          <w:szCs w:val="21"/>
        </w:rPr>
        <w:t>刑訴法等の改正法案は、①取調べの可視化（取調べの録音・録画制度）、②証拠開示制度</w:t>
      </w:r>
    </w:p>
    <w:p w14:paraId="34887DD8" w14:textId="26C8C4D6" w:rsidR="0012130F" w:rsidRPr="00A3118C" w:rsidRDefault="0012130F" w:rsidP="00352697">
      <w:pPr>
        <w:suppressAutoHyphens/>
        <w:ind w:leftChars="100" w:left="223"/>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の拡充、③被疑者国選弁護制度の拡充、④協議・合意制度、刑事免責制度、⑤通信傍受などが内容となっており、刑事司法制度に大きな変革をもたらすものと考えられる。</w:t>
      </w:r>
    </w:p>
    <w:p w14:paraId="6DD19177" w14:textId="77777777" w:rsidR="003B613E" w:rsidRPr="00A3118C" w:rsidRDefault="003B613E" w:rsidP="0012130F">
      <w:pPr>
        <w:suppressAutoHyphens/>
        <w:ind w:left="12"/>
        <w:textAlignment w:val="baseline"/>
        <w:rPr>
          <w:rFonts w:asciiTheme="minorEastAsia" w:hAnsiTheme="minorEastAsia" w:cs="ＭＳ 明朝"/>
          <w:bCs/>
          <w:color w:val="000000"/>
          <w:kern w:val="0"/>
          <w:szCs w:val="21"/>
        </w:rPr>
      </w:pPr>
    </w:p>
    <w:p w14:paraId="7350A19B" w14:textId="3C05822B" w:rsidR="0012130F" w:rsidRPr="00BD62AB" w:rsidRDefault="00A3118C" w:rsidP="0012130F">
      <w:pPr>
        <w:suppressAutoHyphens/>
        <w:ind w:left="12"/>
        <w:textAlignment w:val="baseline"/>
        <w:rPr>
          <w:rFonts w:asciiTheme="minorEastAsia" w:hAnsiTheme="minorEastAsia" w:cs="Times New Roman"/>
          <w:b/>
          <w:color w:val="000000"/>
          <w:spacing w:val="6"/>
          <w:kern w:val="0"/>
          <w:sz w:val="24"/>
          <w:szCs w:val="24"/>
        </w:rPr>
      </w:pPr>
      <w:r w:rsidRPr="00BD62AB">
        <w:rPr>
          <w:rFonts w:asciiTheme="minorEastAsia" w:hAnsiTheme="minorEastAsia" w:cs="ＭＳ 明朝" w:hint="eastAsia"/>
          <w:b/>
          <w:bCs/>
          <w:color w:val="000000"/>
          <w:kern w:val="0"/>
          <w:sz w:val="24"/>
          <w:szCs w:val="24"/>
        </w:rPr>
        <w:t>(2)</w:t>
      </w:r>
      <w:r w:rsidR="0012130F" w:rsidRPr="00BD62AB">
        <w:rPr>
          <w:rFonts w:asciiTheme="minorEastAsia" w:hAnsiTheme="minorEastAsia" w:cs="ＭＳ 明朝" w:hint="eastAsia"/>
          <w:b/>
          <w:bCs/>
          <w:color w:val="000000"/>
          <w:kern w:val="0"/>
          <w:sz w:val="24"/>
          <w:szCs w:val="24"/>
        </w:rPr>
        <w:t xml:space="preserve">　取調べの可視化</w:t>
      </w:r>
    </w:p>
    <w:p w14:paraId="7754A4DA" w14:textId="3D33192D" w:rsidR="0012130F" w:rsidRPr="00BD62AB" w:rsidRDefault="00A3118C" w:rsidP="0012130F">
      <w:pPr>
        <w:suppressAutoHyphens/>
        <w:ind w:left="12"/>
        <w:textAlignment w:val="baseline"/>
        <w:rPr>
          <w:rFonts w:asciiTheme="minorEastAsia" w:hAnsiTheme="minorEastAsia" w:cs="Times New Roman"/>
          <w:b/>
          <w:color w:val="000000"/>
          <w:spacing w:val="6"/>
          <w:kern w:val="0"/>
          <w:sz w:val="24"/>
          <w:szCs w:val="24"/>
        </w:rPr>
      </w:pPr>
      <w:r w:rsidRPr="00BD62AB">
        <w:rPr>
          <w:rFonts w:asciiTheme="minorEastAsia" w:hAnsiTheme="minorEastAsia" w:cs="ＭＳ 明朝" w:hint="eastAsia"/>
          <w:b/>
          <w:bCs/>
          <w:color w:val="000000"/>
          <w:kern w:val="0"/>
          <w:sz w:val="24"/>
          <w:szCs w:val="24"/>
        </w:rPr>
        <w:t>①</w:t>
      </w:r>
      <w:r w:rsidR="00E005D6" w:rsidRPr="00BD62AB">
        <w:rPr>
          <w:rFonts w:asciiTheme="minorEastAsia" w:hAnsiTheme="minorEastAsia" w:cs="ＭＳ 明朝" w:hint="eastAsia"/>
          <w:b/>
          <w:bCs/>
          <w:color w:val="000000"/>
          <w:kern w:val="0"/>
          <w:sz w:val="24"/>
          <w:szCs w:val="24"/>
        </w:rPr>
        <w:t xml:space="preserve"> </w:t>
      </w:r>
      <w:r w:rsidR="0012130F" w:rsidRPr="00BD62AB">
        <w:rPr>
          <w:rFonts w:asciiTheme="minorEastAsia" w:hAnsiTheme="minorEastAsia" w:cs="ＭＳ 明朝" w:hint="eastAsia"/>
          <w:b/>
          <w:bCs/>
          <w:color w:val="000000"/>
          <w:kern w:val="0"/>
          <w:sz w:val="24"/>
          <w:szCs w:val="24"/>
        </w:rPr>
        <w:t>取調べの録音・録画制度の概要</w:t>
      </w:r>
    </w:p>
    <w:p w14:paraId="05452E78" w14:textId="737BACAF" w:rsidR="0012130F" w:rsidRPr="00A3118C" w:rsidRDefault="0012130F" w:rsidP="0012130F">
      <w:pPr>
        <w:suppressAutoHyphens/>
        <w:ind w:left="450" w:hanging="450"/>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刑訴法等の改正法案では、取調べ及び取調べの際作成される供述調書への過度の依存を改め、証拠の収集方法を適正化するとの理念のもと</w:t>
      </w:r>
      <w:r w:rsidR="001A590E" w:rsidRPr="00A3118C">
        <w:rPr>
          <w:rFonts w:asciiTheme="minorEastAsia" w:hAnsiTheme="minorEastAsia" w:cs="ＭＳ 明朝" w:hint="eastAsia"/>
          <w:color w:val="000000"/>
          <w:kern w:val="0"/>
          <w:szCs w:val="21"/>
        </w:rPr>
        <w:t>、</w:t>
      </w:r>
      <w:r w:rsidRPr="00A3118C">
        <w:rPr>
          <w:rFonts w:asciiTheme="minorEastAsia" w:hAnsiTheme="minorEastAsia" w:cs="ＭＳ 明朝" w:hint="eastAsia"/>
          <w:color w:val="000000"/>
          <w:kern w:val="0"/>
          <w:szCs w:val="21"/>
        </w:rPr>
        <w:t>取調べを可視化するための制度として、取調べの録音・録画制度の導入が図られた。</w:t>
      </w:r>
    </w:p>
    <w:p w14:paraId="4A145B07" w14:textId="77777777" w:rsidR="0012130F" w:rsidRPr="00A3118C" w:rsidRDefault="0012130F" w:rsidP="0012130F">
      <w:pPr>
        <w:suppressAutoHyphens/>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刑訴法等の改正法案の録音・録画制度の骨子は以下のとおりである。</w:t>
      </w:r>
    </w:p>
    <w:p w14:paraId="09F5068B" w14:textId="66D97C38" w:rsidR="0012130F" w:rsidRPr="00A3118C" w:rsidRDefault="00D765E8" w:rsidP="0012130F">
      <w:pPr>
        <w:suppressAutoHyphens/>
        <w:ind w:left="636" w:hanging="63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(ア)</w:t>
      </w:r>
      <w:r w:rsidR="0012130F" w:rsidRPr="00A3118C">
        <w:rPr>
          <w:rFonts w:asciiTheme="minorEastAsia" w:hAnsiTheme="minorEastAsia" w:cs="ＭＳ 明朝" w:hint="eastAsia"/>
          <w:color w:val="000000"/>
          <w:kern w:val="0"/>
          <w:szCs w:val="21"/>
        </w:rPr>
        <w:t xml:space="preserve">　検察官は、逮捕・勾留中に一定の事件（裁判員対象事件及び検察官独自捜査事件）について被疑者として作成された被告人の供述調書の任意性が争われたときは、当該供述調書が作成された取調べの状況を録音・録画した記録媒体の証拠調べを請求しなければならない。</w:t>
      </w:r>
    </w:p>
    <w:p w14:paraId="1808C4A9" w14:textId="461B32F9" w:rsidR="0012130F" w:rsidRPr="00A3118C" w:rsidRDefault="00D765E8" w:rsidP="0012130F">
      <w:pPr>
        <w:suppressAutoHyphens/>
        <w:ind w:left="636" w:hanging="63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(イ)</w:t>
      </w:r>
      <w:r w:rsidR="0012130F" w:rsidRPr="00A3118C">
        <w:rPr>
          <w:rFonts w:asciiTheme="minorEastAsia" w:hAnsiTheme="minorEastAsia" w:cs="ＭＳ 明朝" w:hint="eastAsia"/>
          <w:color w:val="000000"/>
          <w:kern w:val="0"/>
          <w:szCs w:val="21"/>
        </w:rPr>
        <w:t xml:space="preserve">　一定の例外事由に該当するために録音・録画をしなかったことその他やむを得ない事情により上記記録媒体が存在しないときは、その証拠調べを請求することを要しないものとする。</w:t>
      </w:r>
    </w:p>
    <w:p w14:paraId="236D49C8" w14:textId="3034A8F1" w:rsidR="0012130F" w:rsidRPr="00A3118C" w:rsidRDefault="00D765E8" w:rsidP="0012130F">
      <w:pPr>
        <w:suppressAutoHyphens/>
        <w:ind w:left="636" w:hanging="63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(ウ)</w:t>
      </w:r>
      <w:r w:rsidR="0012130F" w:rsidRPr="00A3118C">
        <w:rPr>
          <w:rFonts w:asciiTheme="minorEastAsia" w:hAnsiTheme="minorEastAsia" w:cs="ＭＳ 明朝" w:hint="eastAsia"/>
          <w:color w:val="000000"/>
          <w:kern w:val="0"/>
          <w:szCs w:val="21"/>
        </w:rPr>
        <w:t xml:space="preserve">　検察官・検察事務官又は司法警察職員は、逮捕・勾留されている被疑者を一定の事件（裁判員対象事件及び検察官独自捜査事件）について取り調べるときは、以下の例外事由に該当する場合を除き、その状況を録音・録画しておかなければならないものとする。</w:t>
      </w:r>
    </w:p>
    <w:p w14:paraId="32B454F3" w14:textId="77777777" w:rsidR="0012130F" w:rsidRPr="00A3118C" w:rsidRDefault="0012130F" w:rsidP="0012130F">
      <w:pPr>
        <w:suppressAutoHyphens/>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【例外事由】</w:t>
      </w:r>
    </w:p>
    <w:p w14:paraId="4B2BB935" w14:textId="0DBE870A" w:rsidR="0012130F" w:rsidRPr="00A3118C" w:rsidRDefault="00D765E8" w:rsidP="0012130F">
      <w:pPr>
        <w:suppressAutoHyphens/>
        <w:ind w:left="846" w:hanging="42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（ａ</w:t>
      </w:r>
      <w:r w:rsidR="0012130F" w:rsidRPr="00A3118C">
        <w:rPr>
          <w:rFonts w:asciiTheme="minorEastAsia" w:hAnsiTheme="minorEastAsia" w:cs="ＭＳ 明朝" w:hint="eastAsia"/>
          <w:color w:val="000000"/>
          <w:kern w:val="0"/>
          <w:szCs w:val="21"/>
        </w:rPr>
        <w:t>）記録に必要な機械の故障その他やむを得ない事情により記録が困難であると認めるとき</w:t>
      </w:r>
    </w:p>
    <w:p w14:paraId="676CF24E" w14:textId="36525B19" w:rsidR="0012130F" w:rsidRPr="00A3118C" w:rsidRDefault="00D765E8" w:rsidP="0012130F">
      <w:pPr>
        <w:suppressAutoHyphens/>
        <w:ind w:left="846" w:hanging="42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（ｂ</w:t>
      </w:r>
      <w:r w:rsidR="0012130F" w:rsidRPr="00A3118C">
        <w:rPr>
          <w:rFonts w:asciiTheme="minorEastAsia" w:hAnsiTheme="minorEastAsia" w:cs="ＭＳ 明朝" w:hint="eastAsia"/>
          <w:color w:val="000000"/>
          <w:kern w:val="0"/>
          <w:szCs w:val="21"/>
        </w:rPr>
        <w:t>）被疑者による拒否その他の被疑者の言動により、記録をすると被疑者が十分に供述できないと認めるとき</w:t>
      </w:r>
    </w:p>
    <w:p w14:paraId="5998822F" w14:textId="3C1F02C2" w:rsidR="0012130F" w:rsidRPr="00A3118C" w:rsidRDefault="0012130F" w:rsidP="0012130F">
      <w:pPr>
        <w:suppressAutoHyphens/>
        <w:ind w:left="846" w:hanging="42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w:t>
      </w:r>
      <w:r w:rsidR="00D765E8" w:rsidRPr="00A3118C">
        <w:rPr>
          <w:rFonts w:asciiTheme="minorEastAsia" w:hAnsiTheme="minorEastAsia" w:cs="ＭＳ 明朝" w:hint="eastAsia"/>
          <w:color w:val="000000"/>
          <w:kern w:val="0"/>
          <w:szCs w:val="21"/>
        </w:rPr>
        <w:t>ｃ</w:t>
      </w:r>
      <w:r w:rsidRPr="00A3118C">
        <w:rPr>
          <w:rFonts w:asciiTheme="minorEastAsia" w:hAnsiTheme="minorEastAsia" w:cs="ＭＳ 明朝" w:hint="eastAsia"/>
          <w:color w:val="000000"/>
          <w:kern w:val="0"/>
          <w:szCs w:val="21"/>
        </w:rPr>
        <w:t>）被疑者の供述状況が明らかにされると、被疑者又はその親族に対し、身体・財産への加害行為又は畏怖・困惑行為がなされるおそれがあることにより、記録をすると被疑者が十分に供述できないと認めるとき</w:t>
      </w:r>
    </w:p>
    <w:p w14:paraId="4AC73BD6" w14:textId="465423F2" w:rsidR="0012130F" w:rsidRPr="00A3118C" w:rsidRDefault="0012130F" w:rsidP="0012130F">
      <w:pPr>
        <w:suppressAutoHyphens/>
        <w:ind w:firstLine="414"/>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w:t>
      </w:r>
      <w:r w:rsidR="00D765E8" w:rsidRPr="00A3118C">
        <w:rPr>
          <w:rFonts w:asciiTheme="minorEastAsia" w:hAnsiTheme="minorEastAsia" w:cs="ＭＳ 明朝" w:hint="eastAsia"/>
          <w:color w:val="000000"/>
          <w:kern w:val="0"/>
          <w:szCs w:val="21"/>
        </w:rPr>
        <w:t>ｄ</w:t>
      </w:r>
      <w:r w:rsidRPr="00A3118C">
        <w:rPr>
          <w:rFonts w:asciiTheme="minorEastAsia" w:hAnsiTheme="minorEastAsia" w:cs="ＭＳ 明朝" w:hint="eastAsia"/>
          <w:color w:val="000000"/>
          <w:kern w:val="0"/>
          <w:szCs w:val="21"/>
        </w:rPr>
        <w:t>）当該事件が指定暴力団の構成員によるものであると認めるとき</w:t>
      </w:r>
    </w:p>
    <w:p w14:paraId="584F56C2" w14:textId="36A57EE3" w:rsidR="0012130F" w:rsidRPr="00BD62AB" w:rsidRDefault="00A3118C" w:rsidP="0012130F">
      <w:pPr>
        <w:suppressAutoHyphens/>
        <w:ind w:firstLine="206"/>
        <w:textAlignment w:val="baseline"/>
        <w:rPr>
          <w:rFonts w:asciiTheme="minorEastAsia" w:hAnsiTheme="minorEastAsia" w:cs="Times New Roman"/>
          <w:b/>
          <w:color w:val="000000"/>
          <w:spacing w:val="6"/>
          <w:kern w:val="0"/>
          <w:sz w:val="24"/>
          <w:szCs w:val="24"/>
        </w:rPr>
      </w:pPr>
      <w:r w:rsidRPr="00BD62AB">
        <w:rPr>
          <w:rFonts w:asciiTheme="minorEastAsia" w:hAnsiTheme="minorEastAsia" w:cs="ＭＳ 明朝" w:hint="eastAsia"/>
          <w:b/>
          <w:bCs/>
          <w:color w:val="000000"/>
          <w:kern w:val="0"/>
          <w:sz w:val="24"/>
          <w:szCs w:val="24"/>
        </w:rPr>
        <w:t>②</w:t>
      </w:r>
      <w:r w:rsidR="00E005D6" w:rsidRPr="00BD62AB">
        <w:rPr>
          <w:rFonts w:asciiTheme="minorEastAsia" w:hAnsiTheme="minorEastAsia" w:cs="ＭＳ 明朝" w:hint="eastAsia"/>
          <w:b/>
          <w:bCs/>
          <w:color w:val="000000"/>
          <w:kern w:val="0"/>
          <w:sz w:val="24"/>
          <w:szCs w:val="24"/>
        </w:rPr>
        <w:t xml:space="preserve"> </w:t>
      </w:r>
      <w:r w:rsidR="0012130F" w:rsidRPr="00BD62AB">
        <w:rPr>
          <w:rFonts w:asciiTheme="minorEastAsia" w:hAnsiTheme="minorEastAsia" w:cs="ＭＳ 明朝" w:hint="eastAsia"/>
          <w:b/>
          <w:bCs/>
          <w:color w:val="000000"/>
          <w:kern w:val="0"/>
          <w:sz w:val="24"/>
          <w:szCs w:val="24"/>
        </w:rPr>
        <w:t>取調べの録音・録画制度の問題点</w:t>
      </w:r>
    </w:p>
    <w:p w14:paraId="76C03E65" w14:textId="52E83A6F" w:rsidR="0012130F" w:rsidRPr="00A3118C" w:rsidRDefault="0012130F" w:rsidP="0012130F">
      <w:pPr>
        <w:suppressAutoHyphens/>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w:t>
      </w:r>
      <w:r w:rsidR="00D765E8" w:rsidRPr="00A3118C">
        <w:rPr>
          <w:rFonts w:asciiTheme="minorEastAsia" w:hAnsiTheme="minorEastAsia" w:cs="ＭＳ 明朝" w:hint="eastAsia"/>
          <w:color w:val="000000"/>
          <w:kern w:val="0"/>
          <w:szCs w:val="21"/>
        </w:rPr>
        <w:t>ア</w:t>
      </w:r>
      <w:r w:rsidRPr="00A3118C">
        <w:rPr>
          <w:rFonts w:asciiTheme="minorEastAsia" w:hAnsiTheme="minorEastAsia" w:cs="ＭＳ 明朝" w:hint="eastAsia"/>
          <w:color w:val="000000"/>
          <w:kern w:val="0"/>
          <w:szCs w:val="21"/>
        </w:rPr>
        <w:t>）例外事由の存在</w:t>
      </w:r>
    </w:p>
    <w:p w14:paraId="48269470"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取調べの録音・録画制度には、供述証拠の任意性・信用性を担保し公判審理の充実化に資するとの趣旨と、取調べ過程の透明化を通して違法・不当な取り調べを抑止し、取調べの適正化を図ることによって被疑者の黙秘権を実質的に保障するとの趣旨がある。</w:t>
      </w:r>
    </w:p>
    <w:p w14:paraId="0B196E2C" w14:textId="180D8F71"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後者の趣旨からは、録音・録画は取調べ全過程について行われる必要があるといえ、捜査官の裁量により取調べの一部について録音・録画がされず</w:t>
      </w:r>
      <w:r w:rsidR="001A590E" w:rsidRPr="00A3118C">
        <w:rPr>
          <w:rFonts w:asciiTheme="minorEastAsia" w:hAnsiTheme="minorEastAsia" w:cs="ＭＳ 明朝" w:hint="eastAsia"/>
          <w:color w:val="000000"/>
          <w:kern w:val="0"/>
          <w:szCs w:val="21"/>
        </w:rPr>
        <w:t>、</w:t>
      </w:r>
      <w:r w:rsidRPr="00A3118C">
        <w:rPr>
          <w:rFonts w:asciiTheme="minorEastAsia" w:hAnsiTheme="minorEastAsia" w:cs="ＭＳ 明朝" w:hint="eastAsia"/>
          <w:color w:val="000000"/>
          <w:kern w:val="0"/>
          <w:szCs w:val="21"/>
        </w:rPr>
        <w:t>その際の取調べ内容が隠蔽されることは厳に避けられなければならない。</w:t>
      </w:r>
    </w:p>
    <w:p w14:paraId="69A44D85"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取調べの録音・録画の実施にあたって一定の例外事由を定めるということは、取調官が、例外事由に該当するか否かを恣意的に判断することを通じて、取調べの録音・録画制度が取調べ全過程の録音・録画を定めた趣旨が潜脱される可能性がある。</w:t>
      </w:r>
    </w:p>
    <w:p w14:paraId="5F3EE8B7"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lastRenderedPageBreak/>
        <w:t xml:space="preserve">　　　　したがって、例外事由については、①そもそも例外事由を認めるのが相当か、②相当だとしても、今回該当するとされた例外事由の内容が相当かについて再度検討する必要がある。</w:t>
      </w:r>
    </w:p>
    <w:p w14:paraId="0B72A8EC" w14:textId="1737FFF1" w:rsidR="0012130F" w:rsidRPr="00A3118C" w:rsidRDefault="00D765E8" w:rsidP="0012130F">
      <w:pPr>
        <w:suppressAutoHyphens/>
        <w:ind w:firstLine="204"/>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（イ</w:t>
      </w:r>
      <w:r w:rsidR="0012130F" w:rsidRPr="00A3118C">
        <w:rPr>
          <w:rFonts w:asciiTheme="minorEastAsia" w:hAnsiTheme="minorEastAsia" w:cs="ＭＳ 明朝" w:hint="eastAsia"/>
          <w:color w:val="000000"/>
          <w:kern w:val="0"/>
          <w:szCs w:val="21"/>
        </w:rPr>
        <w:t>）録音・録画対象となる事件の範囲</w:t>
      </w:r>
    </w:p>
    <w:p w14:paraId="48C7238D"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現在の取調べの状況として、取調べの透明化のため取調べの全過程を録画するという意味での取調べの可視化は実現するに至っていないが、専ら供述の任意性や信用性等に関する立証のため、言い換えれば被疑者の捜査段階における供述の任意性・信用性の立証及び公判における被告人の供述の信用性の弾劾のための警察官取調べ・検察官取調べの録画は既に試行されており、その件数も増加している。</w:t>
      </w:r>
    </w:p>
    <w:p w14:paraId="1AABAC72"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検察庁では、裁判員裁判対象事件、知的障害によってコミュニケーション能力に問題のある被疑者等（「知的障害を有する被疑者であって、言語によるコミュニケーション能力に問題があり、又は取調官に対する迎合性や被暗示性が高いと認められる者」）に係る事件、精神の障害等により責任能力の減退・喪失が疑われる被疑者に係る事件、独自捜査事件については、身体拘束下の被疑者取調べの全過程が録画されるというケースが増えている。また、警察官による身体拘束下の被疑者取調べについても、裁判員裁判対象事件や知的障害によってコミュニケーション能力に問題のある被疑者等に係る事件では、取調べの一部が録画されるというケースが増えつつある。</w:t>
      </w:r>
    </w:p>
    <w:p w14:paraId="47034B2F" w14:textId="324D376B"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更に、</w:t>
      </w:r>
      <w:r w:rsidR="001A590E" w:rsidRPr="00A3118C">
        <w:rPr>
          <w:rFonts w:asciiTheme="minorEastAsia" w:hAnsiTheme="minorEastAsia" w:cs="ＭＳ 明朝" w:hint="eastAsia"/>
          <w:color w:val="000000"/>
          <w:kern w:val="0"/>
          <w:szCs w:val="21"/>
        </w:rPr>
        <w:t>2014（</w:t>
      </w:r>
      <w:r w:rsidRPr="00A3118C">
        <w:rPr>
          <w:rFonts w:asciiTheme="minorEastAsia" w:hAnsiTheme="minorEastAsia" w:cs="ＭＳ 明朝" w:hint="eastAsia"/>
          <w:color w:val="000000"/>
          <w:kern w:val="0"/>
          <w:szCs w:val="21"/>
        </w:rPr>
        <w:t>平成</w:t>
      </w:r>
      <w:r w:rsidR="001A590E" w:rsidRPr="00A3118C">
        <w:rPr>
          <w:rFonts w:asciiTheme="minorEastAsia" w:hAnsiTheme="minorEastAsia" w:cs="ＭＳ 明朝" w:hint="eastAsia"/>
          <w:color w:val="000000"/>
          <w:kern w:val="0"/>
          <w:szCs w:val="21"/>
        </w:rPr>
        <w:t>26）年5</w:t>
      </w:r>
      <w:r w:rsidRPr="00A3118C">
        <w:rPr>
          <w:rFonts w:asciiTheme="minorEastAsia" w:hAnsiTheme="minorEastAsia" w:cs="ＭＳ 明朝" w:hint="eastAsia"/>
          <w:color w:val="000000"/>
          <w:kern w:val="0"/>
          <w:szCs w:val="21"/>
        </w:rPr>
        <w:t>月、最高検が今までの運用を拡大することを全国の検察庁に伝えたことが発表された。対象とされる事件は、裁判員裁判対象事件、特捜部の独自捜査事件、客観的証拠が少なく供述が重要であると考えられる事案と、独自に運用を広げて試行しているようである。</w:t>
      </w:r>
    </w:p>
    <w:p w14:paraId="646825A2"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今回、録音・録画の対象となる事件は、裁判員裁判対象事件及び検察官独自捜査事件に限られているが、取調べ全過程を録音・録画し、取調べの適正化を図る必要がある事件はこの２つに限られないと考えられ、現在の取調べ実務に比しても狭い範囲に限られているとことから、録音・録画の対象となる事件については拡大の方向で再度検討する必要がある。</w:t>
      </w:r>
    </w:p>
    <w:p w14:paraId="0A78B6B5" w14:textId="3BAECB39" w:rsidR="0012130F" w:rsidRPr="00A3118C" w:rsidRDefault="0012130F" w:rsidP="0012130F">
      <w:pPr>
        <w:suppressAutoHyphens/>
        <w:ind w:firstLine="204"/>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w:t>
      </w:r>
      <w:r w:rsidR="00D765E8" w:rsidRPr="00A3118C">
        <w:rPr>
          <w:rFonts w:asciiTheme="minorEastAsia" w:hAnsiTheme="minorEastAsia" w:cs="ＭＳ 明朝" w:hint="eastAsia"/>
          <w:color w:val="000000"/>
          <w:kern w:val="0"/>
          <w:szCs w:val="21"/>
        </w:rPr>
        <w:t>ウ</w:t>
      </w:r>
      <w:r w:rsidRPr="00A3118C">
        <w:rPr>
          <w:rFonts w:asciiTheme="minorEastAsia" w:hAnsiTheme="minorEastAsia" w:cs="ＭＳ 明朝" w:hint="eastAsia"/>
          <w:color w:val="000000"/>
          <w:kern w:val="0"/>
          <w:szCs w:val="21"/>
        </w:rPr>
        <w:t>）録音・録画の対象となる者</w:t>
      </w:r>
    </w:p>
    <w:p w14:paraId="54060516" w14:textId="77777777" w:rsidR="0012130F" w:rsidRDefault="0012130F" w:rsidP="0012130F">
      <w:pPr>
        <w:suppressAutoHyphens/>
        <w:ind w:left="666" w:hanging="666"/>
        <w:textAlignment w:val="baseline"/>
        <w:rPr>
          <w:rFonts w:asciiTheme="minorEastAsia" w:hAnsiTheme="minorEastAsia" w:cs="ＭＳ 明朝"/>
          <w:color w:val="000000"/>
          <w:kern w:val="0"/>
          <w:szCs w:val="21"/>
        </w:rPr>
      </w:pPr>
      <w:r w:rsidRPr="00A3118C">
        <w:rPr>
          <w:rFonts w:asciiTheme="minorEastAsia" w:hAnsiTheme="minorEastAsia" w:cs="ＭＳ 明朝" w:hint="eastAsia"/>
          <w:color w:val="000000"/>
          <w:kern w:val="0"/>
          <w:szCs w:val="21"/>
        </w:rPr>
        <w:t xml:space="preserve">　　　　今回、録音・録画の対象となる者は、被疑者に限られているが、取調べ全過程を録音・録画し、取調べの適正化を図る必要がある者は被疑者に限られず、参考人も同様と考えられ、録音・録画の対象となる者については拡大の方向で再度検討する必要がある。</w:t>
      </w:r>
    </w:p>
    <w:p w14:paraId="0BED316D" w14:textId="77777777" w:rsidR="00BD62AB" w:rsidRPr="00A3118C" w:rsidRDefault="00BD62AB" w:rsidP="0012130F">
      <w:pPr>
        <w:suppressAutoHyphens/>
        <w:ind w:left="666" w:hanging="666"/>
        <w:textAlignment w:val="baseline"/>
        <w:rPr>
          <w:rFonts w:asciiTheme="minorEastAsia" w:hAnsiTheme="minorEastAsia" w:cs="Times New Roman"/>
          <w:color w:val="000000"/>
          <w:spacing w:val="6"/>
          <w:kern w:val="0"/>
          <w:szCs w:val="21"/>
        </w:rPr>
      </w:pPr>
    </w:p>
    <w:p w14:paraId="05FDF3D7" w14:textId="3A6D37A6" w:rsidR="0012130F" w:rsidRPr="00BD62AB" w:rsidRDefault="00A3118C" w:rsidP="0012130F">
      <w:pPr>
        <w:suppressAutoHyphens/>
        <w:ind w:left="6"/>
        <w:textAlignment w:val="baseline"/>
        <w:rPr>
          <w:rFonts w:asciiTheme="minorEastAsia" w:hAnsiTheme="minorEastAsia" w:cs="Times New Roman"/>
          <w:b/>
          <w:color w:val="000000"/>
          <w:spacing w:val="6"/>
          <w:kern w:val="0"/>
          <w:sz w:val="24"/>
          <w:szCs w:val="24"/>
        </w:rPr>
      </w:pPr>
      <w:r w:rsidRPr="00BD62AB">
        <w:rPr>
          <w:rFonts w:asciiTheme="minorEastAsia" w:hAnsiTheme="minorEastAsia" w:cs="ＭＳ 明朝" w:hint="eastAsia"/>
          <w:b/>
          <w:bCs/>
          <w:color w:val="000000"/>
          <w:kern w:val="0"/>
          <w:sz w:val="24"/>
          <w:szCs w:val="24"/>
        </w:rPr>
        <w:t>(3)</w:t>
      </w:r>
      <w:r w:rsidR="0012130F" w:rsidRPr="00BD62AB">
        <w:rPr>
          <w:rFonts w:asciiTheme="minorEastAsia" w:hAnsiTheme="minorEastAsia" w:cs="ＭＳ 明朝" w:hint="eastAsia"/>
          <w:b/>
          <w:bCs/>
          <w:color w:val="000000"/>
          <w:kern w:val="0"/>
          <w:sz w:val="24"/>
          <w:szCs w:val="24"/>
        </w:rPr>
        <w:t xml:space="preserve">　司法取引制度</w:t>
      </w:r>
    </w:p>
    <w:p w14:paraId="7A802038" w14:textId="53BE584F" w:rsidR="0012130F" w:rsidRPr="00A3118C" w:rsidRDefault="00E005D6" w:rsidP="0012130F">
      <w:pPr>
        <w:suppressAutoHyphens/>
        <w:ind w:left="6"/>
        <w:textAlignment w:val="baseline"/>
        <w:rPr>
          <w:rFonts w:asciiTheme="minorEastAsia" w:hAnsiTheme="minorEastAsia" w:cs="Times New Roman"/>
          <w:color w:val="000000"/>
          <w:spacing w:val="6"/>
          <w:kern w:val="0"/>
          <w:szCs w:val="21"/>
        </w:rPr>
      </w:pPr>
      <w:r w:rsidRPr="00BD62AB">
        <w:rPr>
          <w:rFonts w:asciiTheme="minorEastAsia" w:hAnsiTheme="minorEastAsia" w:cs="ＭＳ 明朝" w:hint="eastAsia"/>
          <w:b/>
          <w:bCs/>
          <w:color w:val="000000"/>
          <w:kern w:val="0"/>
          <w:sz w:val="24"/>
          <w:szCs w:val="24"/>
        </w:rPr>
        <w:t xml:space="preserve">　</w:t>
      </w:r>
      <w:r w:rsidR="00A3118C" w:rsidRPr="00BD62AB">
        <w:rPr>
          <w:rFonts w:asciiTheme="minorEastAsia" w:hAnsiTheme="minorEastAsia" w:cs="ＭＳ 明朝" w:hint="eastAsia"/>
          <w:b/>
          <w:bCs/>
          <w:color w:val="000000"/>
          <w:kern w:val="0"/>
          <w:sz w:val="24"/>
          <w:szCs w:val="24"/>
        </w:rPr>
        <w:t>①</w:t>
      </w:r>
      <w:r w:rsidRPr="00BD62AB">
        <w:rPr>
          <w:rFonts w:asciiTheme="minorEastAsia" w:hAnsiTheme="minorEastAsia" w:cs="ＭＳ 明朝" w:hint="eastAsia"/>
          <w:b/>
          <w:bCs/>
          <w:color w:val="000000"/>
          <w:kern w:val="0"/>
          <w:sz w:val="24"/>
          <w:szCs w:val="24"/>
        </w:rPr>
        <w:t xml:space="preserve"> </w:t>
      </w:r>
      <w:r w:rsidR="0012130F" w:rsidRPr="00BD62AB">
        <w:rPr>
          <w:rFonts w:asciiTheme="minorEastAsia" w:hAnsiTheme="minorEastAsia" w:cs="ＭＳ 明朝" w:hint="eastAsia"/>
          <w:b/>
          <w:bCs/>
          <w:color w:val="000000"/>
          <w:kern w:val="0"/>
          <w:sz w:val="24"/>
          <w:szCs w:val="24"/>
        </w:rPr>
        <w:t>司法取引制度の概要</w:t>
      </w:r>
    </w:p>
    <w:p w14:paraId="20610F7D" w14:textId="77777777" w:rsidR="0012130F" w:rsidRPr="00A3118C" w:rsidRDefault="0012130F" w:rsidP="0012130F">
      <w:pPr>
        <w:suppressAutoHyphens/>
        <w:ind w:left="444" w:hanging="444"/>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刑訴法等の改正法案では、取調べへの過度の依存を改めて適正な手続の下で供述証拠をより広範囲に収集するための制度として、「証拠収集等への協力及び訴追に関する合意制度」の導入が図られた。協力・合意制度は、検察官の訴追裁量権の下で、検察官が必要と認めるときに、被疑者・被告人及び弁護人との間で協議して、被疑者・被告人に対して処分または量刑上の恩典を提示することにより、合意の下で、被疑者・被告人から捜査・公</w:t>
      </w:r>
      <w:r w:rsidRPr="00A3118C">
        <w:rPr>
          <w:rFonts w:asciiTheme="minorEastAsia" w:hAnsiTheme="minorEastAsia" w:cs="ＭＳ 明朝" w:hint="eastAsia"/>
          <w:color w:val="000000"/>
          <w:kern w:val="0"/>
          <w:szCs w:val="21"/>
        </w:rPr>
        <w:lastRenderedPageBreak/>
        <w:t>判への協力を引き出す制度であり、いわゆる司法取引である。</w:t>
      </w:r>
    </w:p>
    <w:p w14:paraId="469BEDB9" w14:textId="77777777" w:rsidR="0012130F" w:rsidRPr="00A3118C" w:rsidRDefault="0012130F" w:rsidP="0012130F">
      <w:pPr>
        <w:suppressAutoHyphens/>
        <w:ind w:left="444" w:hanging="444"/>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具体的には、被疑者・被告人は、取調べや証人尋問の際に真実の供述をする、証拠の提出をするなどの一定の行為をすることと引換に、検察官は、公訴提起しない、略式命令の請求をする、一定の求刑をするなどの一定の行為を行うことを合意する。</w:t>
      </w:r>
    </w:p>
    <w:p w14:paraId="66FBBEB3" w14:textId="77777777" w:rsidR="0012130F" w:rsidRPr="00A3118C" w:rsidRDefault="0012130F" w:rsidP="0012130F">
      <w:pPr>
        <w:suppressAutoHyphens/>
        <w:ind w:left="444" w:hanging="444"/>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司法取引制度は、会社犯罪や贈収賄事件等のような財政経済事犯、特殊詐欺や薬物・銃器売買などの組織犯罪等の密行性の高い犯罪類型において、取調べ以外の方法により供述証拠を獲得する手段とされており、対象犯罪は、これらの犯罪に限定されている。</w:t>
      </w:r>
    </w:p>
    <w:p w14:paraId="62CFD9D4" w14:textId="35BE3C13" w:rsidR="0012130F" w:rsidRPr="00BD62AB" w:rsidRDefault="00D765E8" w:rsidP="0012130F">
      <w:pPr>
        <w:suppressAutoHyphens/>
        <w:ind w:left="6"/>
        <w:textAlignment w:val="baseline"/>
        <w:rPr>
          <w:rFonts w:asciiTheme="minorEastAsia" w:hAnsiTheme="minorEastAsia" w:cs="Times New Roman"/>
          <w:b/>
          <w:color w:val="000000"/>
          <w:spacing w:val="6"/>
          <w:kern w:val="0"/>
          <w:sz w:val="24"/>
          <w:szCs w:val="24"/>
        </w:rPr>
      </w:pPr>
      <w:r w:rsidRPr="00BD62AB">
        <w:rPr>
          <w:rFonts w:asciiTheme="minorEastAsia" w:hAnsiTheme="minorEastAsia" w:cs="ＭＳ 明朝" w:hint="eastAsia"/>
          <w:b/>
          <w:bCs/>
          <w:color w:val="000000"/>
          <w:kern w:val="0"/>
          <w:sz w:val="24"/>
          <w:szCs w:val="24"/>
        </w:rPr>
        <w:t xml:space="preserve">　</w:t>
      </w:r>
      <w:r w:rsidR="00A3118C" w:rsidRPr="00BD62AB">
        <w:rPr>
          <w:rFonts w:asciiTheme="minorEastAsia" w:hAnsiTheme="minorEastAsia" w:cs="ＭＳ 明朝" w:hint="eastAsia"/>
          <w:b/>
          <w:bCs/>
          <w:color w:val="000000"/>
          <w:kern w:val="0"/>
          <w:sz w:val="24"/>
          <w:szCs w:val="24"/>
        </w:rPr>
        <w:t>②</w:t>
      </w:r>
      <w:r w:rsidR="00E005D6" w:rsidRPr="00BD62AB">
        <w:rPr>
          <w:rFonts w:asciiTheme="minorEastAsia" w:hAnsiTheme="minorEastAsia" w:cs="ＭＳ 明朝" w:hint="eastAsia"/>
          <w:b/>
          <w:bCs/>
          <w:color w:val="000000"/>
          <w:kern w:val="0"/>
          <w:sz w:val="24"/>
          <w:szCs w:val="24"/>
        </w:rPr>
        <w:t xml:space="preserve"> </w:t>
      </w:r>
      <w:r w:rsidR="0012130F" w:rsidRPr="00BD62AB">
        <w:rPr>
          <w:rFonts w:asciiTheme="minorEastAsia" w:hAnsiTheme="minorEastAsia" w:cs="ＭＳ 明朝" w:hint="eastAsia"/>
          <w:b/>
          <w:bCs/>
          <w:color w:val="000000"/>
          <w:kern w:val="0"/>
          <w:sz w:val="24"/>
          <w:szCs w:val="24"/>
        </w:rPr>
        <w:t>司法取引制度の問題点</w:t>
      </w:r>
    </w:p>
    <w:p w14:paraId="5AE47D12" w14:textId="4CB6D445" w:rsidR="0012130F" w:rsidRPr="00A3118C" w:rsidRDefault="00D765E8"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（ア</w:t>
      </w:r>
      <w:r w:rsidR="0012130F" w:rsidRPr="00A3118C">
        <w:rPr>
          <w:rFonts w:asciiTheme="minorEastAsia" w:hAnsiTheme="minorEastAsia" w:cs="ＭＳ 明朝" w:hint="eastAsia"/>
          <w:color w:val="000000"/>
          <w:kern w:val="0"/>
          <w:szCs w:val="21"/>
        </w:rPr>
        <w:t>）虚偽供述のおそれが高い</w:t>
      </w:r>
    </w:p>
    <w:p w14:paraId="0A9EFA54"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新設された制度は、他人の犯罪事実を明らかにし、いわば他人を売ることによって、その者が恩恵を受けることを認めるものであって、共犯者の引き込み供述や責任転嫁の供述を誘発し、新たな冤罪の温床にもなりかねない危険を持つ制度である。</w:t>
      </w:r>
    </w:p>
    <w:p w14:paraId="0FF61361"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被疑者・被告人に与えられる利益・恩典は、不起訴にする、罰金にする、一定の求刑をするなどという極めて大きなもので、これまでの裁判例では、利益誘導による自白として任意性が否定される事例があるように、被疑者・被告人の心理に多大に不当な影響を与える可能性があるものといえる。</w:t>
      </w:r>
    </w:p>
    <w:p w14:paraId="6E521FD1"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さらに、司法取引の対象となる者は、他人の特定の犯罪について情報を持っている者であり、取引によって利益を得ることができる者であって、その者自身が特定の犯罪で訴追されて有罪判決を受ける可能性が高い者である。具体的にいえば、特定の犯罪の主犯格の者より下位の共犯者であることが多いと予想されることから、典型的に共犯者の引き込み供述や責任転嫁の供述を行うことが想定される者である。</w:t>
      </w:r>
    </w:p>
    <w:p w14:paraId="5F9B7BE0" w14:textId="13AF4EC0" w:rsidR="0012130F" w:rsidRPr="00A3118C" w:rsidRDefault="00D765E8" w:rsidP="0012130F">
      <w:pPr>
        <w:suppressAutoHyphens/>
        <w:ind w:left="888" w:hanging="888"/>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（イ</w:t>
      </w:r>
      <w:r w:rsidR="0012130F" w:rsidRPr="00A3118C">
        <w:rPr>
          <w:rFonts w:asciiTheme="minorEastAsia" w:hAnsiTheme="minorEastAsia" w:cs="ＭＳ 明朝" w:hint="eastAsia"/>
          <w:color w:val="000000"/>
          <w:kern w:val="0"/>
          <w:szCs w:val="21"/>
        </w:rPr>
        <w:t>）弁護人の関与は供述の信用性の担保にならない</w:t>
      </w:r>
    </w:p>
    <w:p w14:paraId="6AEC303E"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Century"/>
          <w:color w:val="000000"/>
          <w:kern w:val="0"/>
          <w:szCs w:val="21"/>
        </w:rPr>
        <w:t xml:space="preserve">        </w:t>
      </w:r>
      <w:r w:rsidRPr="00A3118C">
        <w:rPr>
          <w:rFonts w:asciiTheme="minorEastAsia" w:hAnsiTheme="minorEastAsia" w:cs="ＭＳ 明朝" w:hint="eastAsia"/>
          <w:color w:val="000000"/>
          <w:kern w:val="0"/>
          <w:szCs w:val="21"/>
        </w:rPr>
        <w:t>合意については弁護人の関与が必要的とされており、これによって、合意をした者の供述の信用性が担保されるとする見解があるが、およそ捜査や弁護活動の実態を無視した議論である。</w:t>
      </w:r>
    </w:p>
    <w:p w14:paraId="02039BA2"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そもそも、合意に関与する弁護人は、合意による司法取引をして利益・恩典を受ける被疑者・被告人の弁護人であり、引き込み供述や責任転嫁の供述をされて、不利益を被る立場の被疑者・被告人の弁護人ではない。したがって、本来的に、被疑者・被告人の供述が虚偽か否かの信用性を、吟味するのに適した立場にある者ではない。</w:t>
      </w:r>
    </w:p>
    <w:p w14:paraId="5F7658E9"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さらに、合意に関与する弁護人は、基本的には、接見中に被疑者・被告人の主張を聞くことしかできず、裏付け捜査もできない状況にあることから、被疑者・被告人の供述について、虚偽か否かを判断しうる資料は何も持っていない状況にある。</w:t>
      </w:r>
    </w:p>
    <w:p w14:paraId="5A3DD24A"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少なくとも、捜査機関が持っている証拠の開示を受けて、被疑者・被告人の供述を吟味しなければ、被疑者・被告人の供述が真実か否かを判断することは不可能であるが、証拠開示制度は存在しない。また、捜査の密行性を考えると、捜査機関から任意の証拠開示を受けるということは考え難いところである。さらに、仮に、捜査機関が、任意に一定の証拠を開示したとしても、単に捜査機関にとって都合の良い証拠を開示したのみであって、それが適正な証拠を開示したか否かも分からない状況にある。</w:t>
      </w:r>
    </w:p>
    <w:p w14:paraId="10B94417"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lastRenderedPageBreak/>
        <w:t xml:space="preserve">　　　　いずれにせよ、弁護人が関与しても担保できるのは、被疑者・被告人の供述の信用性ではなく、被疑者・被告人の供述の任意性でしかないことを認識しておくべきであろう。</w:t>
      </w:r>
    </w:p>
    <w:p w14:paraId="2E75ECB7" w14:textId="4315CEE3" w:rsidR="0012130F" w:rsidRPr="00A3118C" w:rsidRDefault="0012130F" w:rsidP="0012130F">
      <w:pPr>
        <w:suppressAutoHyphens/>
        <w:ind w:left="888" w:hanging="888"/>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w:t>
      </w:r>
      <w:r w:rsidR="00D765E8" w:rsidRPr="00A3118C">
        <w:rPr>
          <w:rFonts w:asciiTheme="minorEastAsia" w:hAnsiTheme="minorEastAsia" w:cs="ＭＳ 明朝" w:hint="eastAsia"/>
          <w:color w:val="000000"/>
          <w:kern w:val="0"/>
          <w:szCs w:val="21"/>
        </w:rPr>
        <w:t>ウ</w:t>
      </w:r>
      <w:r w:rsidRPr="00A3118C">
        <w:rPr>
          <w:rFonts w:asciiTheme="minorEastAsia" w:hAnsiTheme="minorEastAsia" w:cs="ＭＳ 明朝" w:hint="eastAsia"/>
          <w:color w:val="000000"/>
          <w:kern w:val="0"/>
          <w:szCs w:val="21"/>
        </w:rPr>
        <w:t>）その他の問題点</w:t>
      </w:r>
    </w:p>
    <w:p w14:paraId="7D06F175" w14:textId="64A744EB" w:rsidR="0012130F" w:rsidRPr="00A3118C" w:rsidRDefault="0012130F" w:rsidP="0012130F">
      <w:pPr>
        <w:suppressAutoHyphens/>
        <w:ind w:left="888" w:hanging="888"/>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w:t>
      </w:r>
      <w:r w:rsidR="00D765E8" w:rsidRPr="00A3118C">
        <w:rPr>
          <w:rFonts w:asciiTheme="minorEastAsia" w:hAnsiTheme="minorEastAsia" w:cs="ＭＳ 明朝" w:hint="eastAsia"/>
          <w:color w:val="000000"/>
          <w:kern w:val="0"/>
          <w:szCs w:val="21"/>
        </w:rPr>
        <w:t>(ａ)</w:t>
      </w:r>
      <w:r w:rsidRPr="00A3118C">
        <w:rPr>
          <w:rFonts w:asciiTheme="minorEastAsia" w:hAnsiTheme="minorEastAsia" w:cs="ＭＳ 明朝" w:hint="eastAsia"/>
          <w:color w:val="000000"/>
          <w:kern w:val="0"/>
          <w:szCs w:val="21"/>
        </w:rPr>
        <w:t xml:space="preserve">　司法取引をした者に対する反対尋問による、供述の信用性・任意性の吟味は困難と考えられる。そもそも、共犯者の虚偽供述を反対尋問で吟味することは難しい。さらに、司法取引によって合意した内容については、供述調書が作成されることが多いと考えられるため、供述調書の証拠開示を受けて検討することができるが、最も重要な合意に至るまでの経過である協議の内容については、可視化されなかったことから、その状況が明らかにならない状況にある。</w:t>
      </w:r>
    </w:p>
    <w:p w14:paraId="0E6A1290" w14:textId="24EA6548" w:rsidR="0012130F" w:rsidRPr="00A3118C" w:rsidRDefault="0012130F" w:rsidP="0012130F">
      <w:pPr>
        <w:suppressAutoHyphens/>
        <w:ind w:left="888" w:hanging="888"/>
        <w:textAlignment w:val="baseline"/>
        <w:rPr>
          <w:rFonts w:asciiTheme="minorEastAsia" w:hAnsiTheme="minorEastAsia" w:cs="Times New Roman"/>
          <w:color w:val="000000"/>
          <w:spacing w:val="6"/>
          <w:kern w:val="0"/>
          <w:szCs w:val="21"/>
        </w:rPr>
      </w:pPr>
      <w:r w:rsidRPr="00A3118C">
        <w:rPr>
          <w:rFonts w:asciiTheme="minorEastAsia" w:hAnsiTheme="minorEastAsia" w:cs="Century"/>
          <w:color w:val="000000"/>
          <w:kern w:val="0"/>
          <w:szCs w:val="21"/>
        </w:rPr>
        <w:t xml:space="preserve">      </w:t>
      </w:r>
      <w:r w:rsidR="00D765E8" w:rsidRPr="00A3118C">
        <w:rPr>
          <w:rFonts w:asciiTheme="minorEastAsia" w:hAnsiTheme="minorEastAsia" w:cs="Century" w:hint="eastAsia"/>
          <w:color w:val="000000"/>
          <w:kern w:val="0"/>
          <w:szCs w:val="21"/>
        </w:rPr>
        <w:t>(ｂ)</w:t>
      </w:r>
      <w:r w:rsidRPr="00A3118C">
        <w:rPr>
          <w:rFonts w:asciiTheme="minorEastAsia" w:hAnsiTheme="minorEastAsia" w:cs="ＭＳ 明朝" w:hint="eastAsia"/>
          <w:color w:val="000000"/>
          <w:kern w:val="0"/>
          <w:szCs w:val="21"/>
        </w:rPr>
        <w:t xml:space="preserve">　司法取引に基づく供述の信用性を担保する方法として、虚偽供述の処罰が規定された。しかし、これまでは、捜査側に有利な証言について、偽証罪として適切に処罰されてこなかった</w:t>
      </w:r>
      <w:r w:rsidR="00132749" w:rsidRPr="00A3118C">
        <w:rPr>
          <w:rFonts w:asciiTheme="minorEastAsia" w:hAnsiTheme="minorEastAsia" w:cs="ＭＳ 明朝" w:hint="eastAsia"/>
          <w:color w:val="000000"/>
          <w:kern w:val="0"/>
          <w:szCs w:val="21"/>
        </w:rPr>
        <w:t>と</w:t>
      </w:r>
      <w:r w:rsidRPr="00A3118C">
        <w:rPr>
          <w:rFonts w:asciiTheme="minorEastAsia" w:hAnsiTheme="minorEastAsia" w:cs="ＭＳ 明朝" w:hint="eastAsia"/>
          <w:color w:val="000000"/>
          <w:kern w:val="0"/>
          <w:szCs w:val="21"/>
        </w:rPr>
        <w:t>解される。したがって、捜査に協力した司法取引の段階の虚偽供述についても、適切に処罰されることは想定し難い。</w:t>
      </w:r>
    </w:p>
    <w:p w14:paraId="1656D7EF" w14:textId="3EC6AB36" w:rsidR="0012130F" w:rsidRPr="00A3118C" w:rsidRDefault="0012130F" w:rsidP="0012130F">
      <w:pPr>
        <w:suppressAutoHyphens/>
        <w:ind w:left="888" w:hanging="888"/>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w:t>
      </w:r>
      <w:r w:rsidR="00D765E8" w:rsidRPr="00A3118C">
        <w:rPr>
          <w:rFonts w:asciiTheme="minorEastAsia" w:hAnsiTheme="minorEastAsia" w:cs="ＭＳ 明朝" w:hint="eastAsia"/>
          <w:color w:val="000000"/>
          <w:kern w:val="0"/>
          <w:szCs w:val="21"/>
        </w:rPr>
        <w:t>(ｃ)</w:t>
      </w:r>
      <w:r w:rsidRPr="00A3118C">
        <w:rPr>
          <w:rFonts w:asciiTheme="minorEastAsia" w:hAnsiTheme="minorEastAsia" w:cs="ＭＳ 明朝" w:hint="eastAsia"/>
          <w:color w:val="000000"/>
          <w:kern w:val="0"/>
          <w:szCs w:val="21"/>
        </w:rPr>
        <w:t xml:space="preserve">　司法取引をし、その後検面調書が作成された場合であって</w:t>
      </w:r>
      <w:r w:rsidR="001A590E" w:rsidRPr="00A3118C">
        <w:rPr>
          <w:rFonts w:asciiTheme="minorEastAsia" w:hAnsiTheme="minorEastAsia" w:cs="ＭＳ 明朝" w:hint="eastAsia"/>
          <w:color w:val="000000"/>
          <w:kern w:val="0"/>
          <w:szCs w:val="21"/>
        </w:rPr>
        <w:t>も、公判廷において、その者が供述を拒絶した場合には、刑訴法321</w:t>
      </w:r>
      <w:r w:rsidRPr="00A3118C">
        <w:rPr>
          <w:rFonts w:asciiTheme="minorEastAsia" w:hAnsiTheme="minorEastAsia" w:cs="ＭＳ 明朝" w:hint="eastAsia"/>
          <w:color w:val="000000"/>
          <w:kern w:val="0"/>
          <w:szCs w:val="21"/>
        </w:rPr>
        <w:t>条</w:t>
      </w:r>
      <w:r w:rsidR="001A590E" w:rsidRPr="00A3118C">
        <w:rPr>
          <w:rFonts w:asciiTheme="minorEastAsia" w:hAnsiTheme="minorEastAsia" w:cs="ＭＳ 明朝" w:hint="eastAsia"/>
          <w:color w:val="000000"/>
          <w:kern w:val="0"/>
          <w:szCs w:val="21"/>
        </w:rPr>
        <w:t>1</w:t>
      </w:r>
      <w:r w:rsidRPr="00A3118C">
        <w:rPr>
          <w:rFonts w:asciiTheme="minorEastAsia" w:hAnsiTheme="minorEastAsia" w:cs="ＭＳ 明朝" w:hint="eastAsia"/>
          <w:color w:val="000000"/>
          <w:kern w:val="0"/>
          <w:szCs w:val="21"/>
        </w:rPr>
        <w:t>項</w:t>
      </w:r>
      <w:r w:rsidR="001A590E" w:rsidRPr="00A3118C">
        <w:rPr>
          <w:rFonts w:asciiTheme="minorEastAsia" w:hAnsiTheme="minorEastAsia" w:cs="ＭＳ 明朝" w:hint="eastAsia"/>
          <w:color w:val="000000"/>
          <w:kern w:val="0"/>
          <w:szCs w:val="21"/>
        </w:rPr>
        <w:t>2</w:t>
      </w:r>
      <w:r w:rsidRPr="00A3118C">
        <w:rPr>
          <w:rFonts w:asciiTheme="minorEastAsia" w:hAnsiTheme="minorEastAsia" w:cs="ＭＳ 明朝" w:hint="eastAsia"/>
          <w:color w:val="000000"/>
          <w:kern w:val="0"/>
          <w:szCs w:val="21"/>
        </w:rPr>
        <w:t>号書面として証拠採用される可能性もある。</w:t>
      </w:r>
    </w:p>
    <w:p w14:paraId="1CA6B974" w14:textId="5EFF0AA9" w:rsidR="0012130F" w:rsidRPr="00A3118C" w:rsidRDefault="0012130F" w:rsidP="0012130F">
      <w:pPr>
        <w:suppressAutoHyphens/>
        <w:ind w:left="888" w:hanging="888"/>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w:t>
      </w:r>
      <w:r w:rsidR="00D765E8" w:rsidRPr="00A3118C">
        <w:rPr>
          <w:rFonts w:asciiTheme="minorEastAsia" w:hAnsiTheme="minorEastAsia" w:cs="ＭＳ 明朝" w:hint="eastAsia"/>
          <w:color w:val="000000"/>
          <w:kern w:val="0"/>
          <w:szCs w:val="21"/>
        </w:rPr>
        <w:t>(ｄ)</w:t>
      </w:r>
      <w:r w:rsidRPr="00A3118C">
        <w:rPr>
          <w:rFonts w:asciiTheme="minorEastAsia" w:hAnsiTheme="minorEastAsia" w:cs="ＭＳ 明朝" w:hint="eastAsia"/>
          <w:color w:val="000000"/>
          <w:kern w:val="0"/>
          <w:szCs w:val="21"/>
        </w:rPr>
        <w:t xml:space="preserve">　協議をしたものの合意に至らなかった場合には、協議の際に被疑者・被告人が供述した内容は、その者の裁判の証拠としては使用することができないとされる。</w:t>
      </w:r>
    </w:p>
    <w:p w14:paraId="43255183" w14:textId="77777777" w:rsidR="0012130F" w:rsidRPr="00A3118C" w:rsidRDefault="0012130F" w:rsidP="0012130F">
      <w:pPr>
        <w:suppressAutoHyphens/>
        <w:ind w:left="888" w:hanging="888"/>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w:t>
      </w:r>
      <w:r w:rsidRPr="00A3118C">
        <w:rPr>
          <w:rFonts w:asciiTheme="minorEastAsia" w:hAnsiTheme="minorEastAsia" w:cs="Century"/>
          <w:color w:val="000000"/>
          <w:kern w:val="0"/>
          <w:szCs w:val="21"/>
        </w:rPr>
        <w:t xml:space="preserve"> </w:t>
      </w:r>
      <w:r w:rsidRPr="00A3118C">
        <w:rPr>
          <w:rFonts w:asciiTheme="minorEastAsia" w:hAnsiTheme="minorEastAsia" w:cs="ＭＳ 明朝" w:hint="eastAsia"/>
          <w:color w:val="000000"/>
          <w:kern w:val="0"/>
          <w:szCs w:val="21"/>
        </w:rPr>
        <w:t>しかし、協議の際の被疑者・被告人の供述に基づいて得られた証拠やその供述から派生した証拠については、何らの規定がないことから、被疑者・被告人の刑事事件においても証拠とすることができると思われる。</w:t>
      </w:r>
    </w:p>
    <w:p w14:paraId="09B4D52D" w14:textId="77777777" w:rsidR="0012130F" w:rsidRPr="00A3118C" w:rsidRDefault="0012130F" w:rsidP="0012130F">
      <w:pPr>
        <w:suppressAutoHyphens/>
        <w:ind w:left="888" w:hanging="888"/>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FF"/>
          <w:kern w:val="0"/>
          <w:szCs w:val="21"/>
        </w:rPr>
        <w:t xml:space="preserve">　　　　　</w:t>
      </w:r>
      <w:r w:rsidRPr="00A3118C">
        <w:rPr>
          <w:rFonts w:asciiTheme="minorEastAsia" w:hAnsiTheme="minorEastAsia" w:cs="ＭＳ 明朝" w:hint="eastAsia"/>
          <w:color w:val="000000"/>
          <w:kern w:val="0"/>
          <w:szCs w:val="21"/>
        </w:rPr>
        <w:t>また、協議の際の被疑者・被告人の供述を端緒として、検察官が、新たな捜査を展開することも可能となっている。</w:t>
      </w:r>
    </w:p>
    <w:p w14:paraId="7962D6DE" w14:textId="77777777" w:rsidR="0012130F" w:rsidRPr="00A3118C" w:rsidRDefault="0012130F" w:rsidP="0012130F">
      <w:pPr>
        <w:suppressAutoHyphens/>
        <w:ind w:left="888" w:hanging="888"/>
        <w:textAlignment w:val="baseline"/>
        <w:rPr>
          <w:rFonts w:asciiTheme="minorEastAsia" w:hAnsiTheme="minorEastAsia" w:cs="ＭＳ 明朝"/>
          <w:color w:val="000000"/>
          <w:kern w:val="0"/>
          <w:szCs w:val="21"/>
        </w:rPr>
      </w:pPr>
      <w:r w:rsidRPr="00A3118C">
        <w:rPr>
          <w:rFonts w:asciiTheme="minorEastAsia" w:hAnsiTheme="minorEastAsia" w:cs="ＭＳ 明朝" w:hint="eastAsia"/>
          <w:color w:val="000000"/>
          <w:kern w:val="0"/>
          <w:szCs w:val="21"/>
        </w:rPr>
        <w:t xml:space="preserve">　　　　　このように、協議の際の被疑者・被告人の供述が、結果的に、被疑者・被告人に不利な方向に働く可能性がある。</w:t>
      </w:r>
    </w:p>
    <w:p w14:paraId="39A8E6FB" w14:textId="77777777" w:rsidR="003B613E" w:rsidRPr="00A3118C" w:rsidRDefault="003B613E" w:rsidP="0012130F">
      <w:pPr>
        <w:suppressAutoHyphens/>
        <w:ind w:left="888" w:hanging="888"/>
        <w:textAlignment w:val="baseline"/>
        <w:rPr>
          <w:rFonts w:asciiTheme="minorEastAsia" w:hAnsiTheme="minorEastAsia" w:cs="Times New Roman"/>
          <w:color w:val="000000"/>
          <w:spacing w:val="6"/>
          <w:kern w:val="0"/>
          <w:szCs w:val="21"/>
        </w:rPr>
      </w:pPr>
    </w:p>
    <w:p w14:paraId="5FD9F357" w14:textId="5715F81F" w:rsidR="0012130F" w:rsidRPr="00BD62AB" w:rsidRDefault="00A3118C" w:rsidP="0012130F">
      <w:pPr>
        <w:suppressAutoHyphens/>
        <w:ind w:left="6"/>
        <w:textAlignment w:val="baseline"/>
        <w:rPr>
          <w:rFonts w:asciiTheme="minorEastAsia" w:hAnsiTheme="minorEastAsia" w:cs="Times New Roman"/>
          <w:b/>
          <w:color w:val="000000"/>
          <w:spacing w:val="6"/>
          <w:kern w:val="0"/>
          <w:sz w:val="24"/>
          <w:szCs w:val="24"/>
        </w:rPr>
      </w:pPr>
      <w:r w:rsidRPr="00BD62AB">
        <w:rPr>
          <w:rFonts w:asciiTheme="minorEastAsia" w:hAnsiTheme="minorEastAsia" w:cs="ＭＳ 明朝" w:hint="eastAsia"/>
          <w:b/>
          <w:bCs/>
          <w:color w:val="000000"/>
          <w:kern w:val="0"/>
          <w:sz w:val="24"/>
          <w:szCs w:val="24"/>
        </w:rPr>
        <w:t>(4)</w:t>
      </w:r>
      <w:r w:rsidR="0012130F" w:rsidRPr="00BD62AB">
        <w:rPr>
          <w:rFonts w:asciiTheme="minorEastAsia" w:hAnsiTheme="minorEastAsia" w:cs="ＭＳ 明朝" w:hint="eastAsia"/>
          <w:b/>
          <w:bCs/>
          <w:color w:val="000000"/>
          <w:kern w:val="0"/>
          <w:sz w:val="24"/>
          <w:szCs w:val="24"/>
        </w:rPr>
        <w:t xml:space="preserve">　刑事免責制度</w:t>
      </w:r>
    </w:p>
    <w:p w14:paraId="475931A3" w14:textId="2D936D7A" w:rsidR="0012130F" w:rsidRPr="00BD62AB" w:rsidRDefault="00A3118C" w:rsidP="00BD62AB">
      <w:pPr>
        <w:suppressAutoHyphens/>
        <w:ind w:left="6" w:firstLineChars="50" w:firstLine="127"/>
        <w:textAlignment w:val="baseline"/>
        <w:rPr>
          <w:rFonts w:asciiTheme="minorEastAsia" w:hAnsiTheme="minorEastAsia" w:cs="Times New Roman"/>
          <w:b/>
          <w:color w:val="000000"/>
          <w:spacing w:val="6"/>
          <w:kern w:val="0"/>
          <w:sz w:val="24"/>
          <w:szCs w:val="24"/>
        </w:rPr>
      </w:pPr>
      <w:r w:rsidRPr="00BD62AB">
        <w:rPr>
          <w:rFonts w:asciiTheme="minorEastAsia" w:hAnsiTheme="minorEastAsia" w:cs="ＭＳ 明朝" w:hint="eastAsia"/>
          <w:b/>
          <w:bCs/>
          <w:color w:val="000000"/>
          <w:kern w:val="0"/>
          <w:sz w:val="24"/>
          <w:szCs w:val="24"/>
        </w:rPr>
        <w:t>①</w:t>
      </w:r>
      <w:r w:rsidR="00E005D6" w:rsidRPr="00BD62AB">
        <w:rPr>
          <w:rFonts w:asciiTheme="minorEastAsia" w:hAnsiTheme="minorEastAsia" w:cs="ＭＳ 明朝" w:hint="eastAsia"/>
          <w:b/>
          <w:bCs/>
          <w:color w:val="000000"/>
          <w:kern w:val="0"/>
          <w:sz w:val="24"/>
          <w:szCs w:val="24"/>
        </w:rPr>
        <w:t xml:space="preserve"> </w:t>
      </w:r>
      <w:r w:rsidR="0012130F" w:rsidRPr="00BD62AB">
        <w:rPr>
          <w:rFonts w:asciiTheme="minorEastAsia" w:hAnsiTheme="minorEastAsia" w:cs="ＭＳ 明朝" w:hint="eastAsia"/>
          <w:b/>
          <w:bCs/>
          <w:color w:val="000000"/>
          <w:kern w:val="0"/>
          <w:sz w:val="24"/>
          <w:szCs w:val="24"/>
        </w:rPr>
        <w:t>刑事免責制度の概要</w:t>
      </w:r>
    </w:p>
    <w:p w14:paraId="43D21CAC" w14:textId="77777777" w:rsidR="0012130F" w:rsidRPr="00A3118C" w:rsidRDefault="0012130F" w:rsidP="0012130F">
      <w:pPr>
        <w:suppressAutoHyphens/>
        <w:ind w:left="444" w:hanging="444"/>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刑訴法等の改正法案では、取調べへの過度の依存を改めるという理念の下に、供述調書への過度の依存を改め、公判廷に真正な証拠が顕出されるための制度として、刑事免責制度の導入が図られた。</w:t>
      </w:r>
    </w:p>
    <w:p w14:paraId="6EA2BFE2" w14:textId="77777777" w:rsidR="0012130F" w:rsidRPr="00A3118C" w:rsidRDefault="0012130F" w:rsidP="0012130F">
      <w:pPr>
        <w:suppressAutoHyphens/>
        <w:ind w:left="444" w:hanging="444"/>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刑事免責制度とは、裁判所の決定（免責決定）により、証人尋問で得られた供述及びそれに由来する証拠を、当該証人に対して不利益な証拠とすることを禁止することで、当該証人の自己負罪拒否特権を消滅させて、証言を強制する制度である。</w:t>
      </w:r>
    </w:p>
    <w:p w14:paraId="74A8334A" w14:textId="77777777" w:rsidR="0012130F" w:rsidRPr="00A3118C" w:rsidRDefault="0012130F" w:rsidP="0012130F">
      <w:pPr>
        <w:suppressAutoHyphens/>
        <w:ind w:left="444" w:hanging="444"/>
        <w:textAlignment w:val="baseline"/>
        <w:rPr>
          <w:rFonts w:asciiTheme="minorEastAsia" w:hAnsiTheme="minorEastAsia" w:cs="Times New Roman"/>
          <w:color w:val="000000"/>
          <w:spacing w:val="6"/>
          <w:kern w:val="0"/>
          <w:szCs w:val="21"/>
        </w:rPr>
      </w:pPr>
      <w:r w:rsidRPr="00A3118C">
        <w:rPr>
          <w:rFonts w:asciiTheme="minorEastAsia" w:hAnsiTheme="minorEastAsia" w:cs="Century"/>
          <w:color w:val="000000"/>
          <w:kern w:val="0"/>
          <w:szCs w:val="21"/>
        </w:rPr>
        <w:t xml:space="preserve">      </w:t>
      </w:r>
      <w:r w:rsidRPr="00A3118C">
        <w:rPr>
          <w:rFonts w:asciiTheme="minorEastAsia" w:hAnsiTheme="minorEastAsia" w:cs="ＭＳ 明朝" w:hint="eastAsia"/>
          <w:color w:val="000000"/>
          <w:kern w:val="0"/>
          <w:szCs w:val="21"/>
        </w:rPr>
        <w:t>刑事免責制度も、司法取引制度と同様に、会社犯罪や贈収賄事件等のような財政経済事犯、特殊詐欺や薬物・銃器売買などの組織犯罪等の密行性の高い犯罪類型において、取調べ以外の方法により供述証拠を獲得する手段として導入を図るものである。しかし、刑事免責制度は、司法取引制度とは異なり、対象犯罪が限定されておらず、全ての犯罪におい</w:t>
      </w:r>
      <w:r w:rsidRPr="00A3118C">
        <w:rPr>
          <w:rFonts w:asciiTheme="minorEastAsia" w:hAnsiTheme="minorEastAsia" w:cs="ＭＳ 明朝" w:hint="eastAsia"/>
          <w:color w:val="000000"/>
          <w:kern w:val="0"/>
          <w:szCs w:val="21"/>
        </w:rPr>
        <w:lastRenderedPageBreak/>
        <w:t>て刑事免責制度を使うことが可能となっている。</w:t>
      </w:r>
    </w:p>
    <w:p w14:paraId="73C49730" w14:textId="78478FFE" w:rsidR="0012130F" w:rsidRPr="00BD62AB" w:rsidRDefault="00A3118C" w:rsidP="00BD62AB">
      <w:pPr>
        <w:suppressAutoHyphens/>
        <w:ind w:left="6" w:firstLineChars="50" w:firstLine="127"/>
        <w:textAlignment w:val="baseline"/>
        <w:rPr>
          <w:rFonts w:asciiTheme="minorEastAsia" w:hAnsiTheme="minorEastAsia" w:cs="Times New Roman"/>
          <w:b/>
          <w:color w:val="000000"/>
          <w:spacing w:val="6"/>
          <w:kern w:val="0"/>
          <w:sz w:val="24"/>
          <w:szCs w:val="24"/>
        </w:rPr>
      </w:pPr>
      <w:r w:rsidRPr="00BD62AB">
        <w:rPr>
          <w:rFonts w:asciiTheme="minorEastAsia" w:hAnsiTheme="minorEastAsia" w:cs="ＭＳ 明朝" w:hint="eastAsia"/>
          <w:b/>
          <w:bCs/>
          <w:color w:val="000000"/>
          <w:kern w:val="0"/>
          <w:sz w:val="24"/>
          <w:szCs w:val="24"/>
        </w:rPr>
        <w:t>②</w:t>
      </w:r>
      <w:r w:rsidR="0012130F" w:rsidRPr="00BD62AB">
        <w:rPr>
          <w:rFonts w:asciiTheme="minorEastAsia" w:hAnsiTheme="minorEastAsia" w:cs="ＭＳ 明朝" w:hint="eastAsia"/>
          <w:b/>
          <w:bCs/>
          <w:color w:val="000000"/>
          <w:kern w:val="0"/>
          <w:sz w:val="24"/>
          <w:szCs w:val="24"/>
        </w:rPr>
        <w:t xml:space="preserve">　刑事免責制度の問題点</w:t>
      </w:r>
    </w:p>
    <w:p w14:paraId="57E90FA3" w14:textId="5D9D6270"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Century"/>
          <w:color w:val="000000"/>
          <w:kern w:val="0"/>
          <w:szCs w:val="21"/>
        </w:rPr>
        <w:t xml:space="preserve">  </w:t>
      </w:r>
      <w:r w:rsidR="00D765E8" w:rsidRPr="00A3118C">
        <w:rPr>
          <w:rFonts w:asciiTheme="minorEastAsia" w:hAnsiTheme="minorEastAsia" w:cs="ＭＳ 明朝" w:hint="eastAsia"/>
          <w:color w:val="000000"/>
          <w:kern w:val="0"/>
          <w:szCs w:val="21"/>
        </w:rPr>
        <w:t>（ア</w:t>
      </w:r>
      <w:r w:rsidRPr="00A3118C">
        <w:rPr>
          <w:rFonts w:asciiTheme="minorEastAsia" w:hAnsiTheme="minorEastAsia" w:cs="ＭＳ 明朝" w:hint="eastAsia"/>
          <w:color w:val="000000"/>
          <w:kern w:val="0"/>
          <w:szCs w:val="21"/>
        </w:rPr>
        <w:t>）共犯者の引き込み供述や責任転嫁の供述を誘発するおそれ</w:t>
      </w:r>
    </w:p>
    <w:p w14:paraId="2309BC27"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刑事免責制度は、自らは刑事免責を受けつつ、他人の犯罪事実を明らかにするものであり、共犯者の引き込み供述や責任転嫁の供述を誘発する制度といえよう。</w:t>
      </w:r>
    </w:p>
    <w:p w14:paraId="4783F923"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これに対し、刑事免責制度は、一方的に自己負罪拒否特権を消滅させて供述を強制するものであって、かえって、虚偽の供述をすれば偽証罪により処罰されるわけであるから、制度的には取引的要素はないとして、刑事免責制度が導入されたのであるが、このような考えは、捜査や公判準備の実態を理解していない議論というべきである。</w:t>
      </w:r>
    </w:p>
    <w:p w14:paraId="2CF98CCE"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刑事免責の対象となる者は、他人の犯罪についての情報を有しており、しかも、自己負罪拒否特権の行使を検討する必要がある者（すなわち、刑事訴追を受け、又は有罪判決を受けるおそれがある者）であることから、通常、被疑者または参考人として、実際に捜査官からの取調べを受けている者と思われる。すなわち、引き込み供述や責任転嫁の供述という虚偽供述の動機を持っている者である。</w:t>
      </w:r>
    </w:p>
    <w:p w14:paraId="7C9B938C"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実際の刑事免責制度の運用は、取調べの際や証人テストの際に、検察官から刑事免責制度の説明を受け、さらに、この制度を使って証人尋問を行うことを告げられるという形が一般的と思われる。</w:t>
      </w:r>
    </w:p>
    <w:p w14:paraId="77786475"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したがって、刑事免責制度を利用してもらうために、検察官に迎合して、検察官が求める内容の虚偽供述を行う危険性が高いと考えられる。</w:t>
      </w:r>
    </w:p>
    <w:p w14:paraId="60B2CD6B" w14:textId="02AFE57C"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w:t>
      </w:r>
      <w:r w:rsidR="00D765E8" w:rsidRPr="00A3118C">
        <w:rPr>
          <w:rFonts w:asciiTheme="minorEastAsia" w:hAnsiTheme="minorEastAsia" w:cs="ＭＳ 明朝" w:hint="eastAsia"/>
          <w:color w:val="000000"/>
          <w:kern w:val="0"/>
          <w:szCs w:val="21"/>
        </w:rPr>
        <w:t>イ</w:t>
      </w:r>
      <w:r w:rsidRPr="00A3118C">
        <w:rPr>
          <w:rFonts w:asciiTheme="minorEastAsia" w:hAnsiTheme="minorEastAsia" w:cs="ＭＳ 明朝" w:hint="eastAsia"/>
          <w:color w:val="000000"/>
          <w:kern w:val="0"/>
          <w:szCs w:val="21"/>
        </w:rPr>
        <w:t>）免責の範囲の明確化の必要性</w:t>
      </w:r>
    </w:p>
    <w:p w14:paraId="467F77E2" w14:textId="77777777" w:rsidR="0012130F" w:rsidRPr="00A3118C" w:rsidRDefault="0012130F" w:rsidP="0012130F">
      <w:pPr>
        <w:suppressAutoHyphens/>
        <w:ind w:left="666" w:hanging="666"/>
        <w:textAlignment w:val="baseline"/>
        <w:rPr>
          <w:rFonts w:asciiTheme="minorEastAsia" w:hAnsiTheme="minorEastAsia" w:cs="Times New Roman"/>
          <w:color w:val="000000"/>
          <w:spacing w:val="6"/>
          <w:kern w:val="0"/>
          <w:szCs w:val="21"/>
        </w:rPr>
      </w:pPr>
      <w:r w:rsidRPr="00A3118C">
        <w:rPr>
          <w:rFonts w:asciiTheme="minorEastAsia" w:hAnsiTheme="minorEastAsia" w:cs="ＭＳ 明朝" w:hint="eastAsia"/>
          <w:color w:val="000000"/>
          <w:kern w:val="0"/>
          <w:szCs w:val="21"/>
        </w:rPr>
        <w:t xml:space="preserve">　　　　刑事免責制度は、自己負罪拒否特権が消滅させられて、証言が強制されることの引き替えとして、証言及び派生証拠は、証人の刑事事件において証人に不利益な証拠とすることができないという制度なのであるから、この制度によって証言を強制された者は、「自己負罪拒否特権を消滅させても、何の不利益も蒙らない」ということが前提となっていなければならない。</w:t>
      </w:r>
    </w:p>
    <w:p w14:paraId="7D2D6FE9" w14:textId="490BF42F" w:rsidR="005E45B2" w:rsidRPr="00A3118C" w:rsidRDefault="0012130F" w:rsidP="00505FCB">
      <w:pPr>
        <w:suppressAutoHyphens/>
        <w:ind w:left="666" w:hanging="666"/>
        <w:textAlignment w:val="baseline"/>
        <w:rPr>
          <w:rFonts w:asciiTheme="minorEastAsia" w:hAnsiTheme="minorEastAsia" w:cs="ＭＳ 明朝"/>
          <w:color w:val="000000"/>
          <w:kern w:val="0"/>
          <w:szCs w:val="21"/>
        </w:rPr>
      </w:pPr>
      <w:r w:rsidRPr="00A3118C">
        <w:rPr>
          <w:rFonts w:asciiTheme="minorEastAsia" w:hAnsiTheme="minorEastAsia" w:cs="ＭＳ 明朝" w:hint="eastAsia"/>
          <w:color w:val="000000"/>
          <w:kern w:val="0"/>
          <w:szCs w:val="21"/>
        </w:rPr>
        <w:t xml:space="preserve">　　　　この点について、「尋問に応じてした供述及びこれに基づいて得られた証拠」と規定されているが、「証言に基づいて得られた証拠」の範囲が、必ずしも明確とは言い難いと思われる。</w:t>
      </w:r>
    </w:p>
    <w:p w14:paraId="6AA38C5C" w14:textId="77777777" w:rsidR="00505FCB" w:rsidRPr="00A3118C" w:rsidRDefault="00505FCB" w:rsidP="00505FCB">
      <w:pPr>
        <w:suppressAutoHyphens/>
        <w:ind w:left="666" w:hanging="666"/>
        <w:textAlignment w:val="baseline"/>
        <w:rPr>
          <w:rFonts w:asciiTheme="minorEastAsia" w:hAnsiTheme="minorEastAsia" w:cs="ＭＳ 明朝"/>
          <w:color w:val="000000"/>
          <w:kern w:val="0"/>
          <w:szCs w:val="21"/>
        </w:rPr>
      </w:pPr>
    </w:p>
    <w:p w14:paraId="1F4C84BC" w14:textId="3F2F2A0E" w:rsidR="00505FCB" w:rsidRPr="00BD62AB" w:rsidRDefault="00A3118C" w:rsidP="00505FCB">
      <w:pPr>
        <w:suppressAutoHyphens/>
        <w:ind w:left="666" w:hanging="666"/>
        <w:textAlignment w:val="baseline"/>
        <w:rPr>
          <w:rFonts w:asciiTheme="minorEastAsia" w:hAnsiTheme="minorEastAsia" w:cs="ＭＳ 明朝"/>
          <w:b/>
          <w:kern w:val="0"/>
          <w:sz w:val="24"/>
          <w:szCs w:val="24"/>
        </w:rPr>
      </w:pPr>
      <w:r w:rsidRPr="00BD62AB">
        <w:rPr>
          <w:rFonts w:asciiTheme="minorEastAsia" w:hAnsiTheme="minorEastAsia" w:cs="ＭＳ 明朝" w:hint="eastAsia"/>
          <w:b/>
          <w:kern w:val="0"/>
          <w:sz w:val="24"/>
          <w:szCs w:val="24"/>
        </w:rPr>
        <w:t>(5)</w:t>
      </w:r>
      <w:r w:rsidR="00505FCB" w:rsidRPr="00BD62AB">
        <w:rPr>
          <w:rFonts w:asciiTheme="minorEastAsia" w:hAnsiTheme="minorEastAsia" w:cs="ＭＳ 明朝" w:hint="eastAsia"/>
          <w:b/>
          <w:kern w:val="0"/>
          <w:sz w:val="24"/>
          <w:szCs w:val="24"/>
        </w:rPr>
        <w:t xml:space="preserve">　今後の取り組み</w:t>
      </w:r>
    </w:p>
    <w:p w14:paraId="4577A7FC" w14:textId="2DE3E277" w:rsidR="00505FCB" w:rsidRPr="00A3118C" w:rsidRDefault="00132749" w:rsidP="00132749">
      <w:pPr>
        <w:suppressAutoHyphens/>
        <w:ind w:leftChars="100" w:left="223" w:firstLineChars="100" w:firstLine="235"/>
        <w:textAlignment w:val="baseline"/>
        <w:rPr>
          <w:rFonts w:asciiTheme="minorEastAsia" w:hAnsiTheme="minorEastAsia" w:cs="Times New Roman"/>
          <w:spacing w:val="6"/>
          <w:kern w:val="0"/>
          <w:szCs w:val="21"/>
        </w:rPr>
      </w:pPr>
      <w:r w:rsidRPr="00A3118C">
        <w:rPr>
          <w:rFonts w:asciiTheme="minorEastAsia" w:hAnsiTheme="minorEastAsia" w:cs="Times New Roman" w:hint="eastAsia"/>
          <w:spacing w:val="6"/>
          <w:kern w:val="0"/>
          <w:szCs w:val="21"/>
        </w:rPr>
        <w:t>取調べの録音・録画</w:t>
      </w:r>
      <w:r w:rsidR="00C11E70" w:rsidRPr="00A3118C">
        <w:rPr>
          <w:rFonts w:asciiTheme="minorEastAsia" w:hAnsiTheme="minorEastAsia" w:cs="Times New Roman" w:hint="eastAsia"/>
          <w:spacing w:val="6"/>
          <w:kern w:val="0"/>
          <w:szCs w:val="21"/>
        </w:rPr>
        <w:t>の制度</w:t>
      </w:r>
      <w:r w:rsidR="00505FCB" w:rsidRPr="00A3118C">
        <w:rPr>
          <w:rFonts w:asciiTheme="minorEastAsia" w:hAnsiTheme="minorEastAsia" w:cs="Times New Roman" w:hint="eastAsia"/>
          <w:spacing w:val="6"/>
          <w:kern w:val="0"/>
          <w:szCs w:val="21"/>
        </w:rPr>
        <w:t>は、</w:t>
      </w:r>
      <w:r w:rsidRPr="00A3118C">
        <w:rPr>
          <w:rFonts w:asciiTheme="minorEastAsia" w:hAnsiTheme="minorEastAsia" w:cs="Times New Roman" w:hint="eastAsia"/>
          <w:spacing w:val="6"/>
          <w:kern w:val="0"/>
          <w:szCs w:val="21"/>
        </w:rPr>
        <w:t>全面可視化まで未だ道半ばの状態である。</w:t>
      </w:r>
      <w:r w:rsidR="00505FCB" w:rsidRPr="00A3118C">
        <w:rPr>
          <w:rFonts w:asciiTheme="minorEastAsia" w:hAnsiTheme="minorEastAsia" w:cs="Times New Roman" w:hint="eastAsia"/>
          <w:spacing w:val="6"/>
          <w:kern w:val="0"/>
          <w:szCs w:val="21"/>
        </w:rPr>
        <w:t>弁護人としては、捜査機関によって例外事由を広く認めるような</w:t>
      </w:r>
      <w:r w:rsidR="00C11E70" w:rsidRPr="00A3118C">
        <w:rPr>
          <w:rFonts w:asciiTheme="minorEastAsia" w:hAnsiTheme="minorEastAsia" w:cs="Times New Roman" w:hint="eastAsia"/>
          <w:spacing w:val="6"/>
          <w:kern w:val="0"/>
          <w:szCs w:val="21"/>
        </w:rPr>
        <w:t>恣意的</w:t>
      </w:r>
      <w:r w:rsidRPr="00A3118C">
        <w:rPr>
          <w:rFonts w:asciiTheme="minorEastAsia" w:hAnsiTheme="minorEastAsia" w:cs="Times New Roman" w:hint="eastAsia"/>
          <w:spacing w:val="6"/>
          <w:kern w:val="0"/>
          <w:szCs w:val="21"/>
        </w:rPr>
        <w:t>運用がなされないよう、捜査機関に対し細心の</w:t>
      </w:r>
      <w:r w:rsidR="00505FCB" w:rsidRPr="00A3118C">
        <w:rPr>
          <w:rFonts w:asciiTheme="minorEastAsia" w:hAnsiTheme="minorEastAsia" w:cs="Times New Roman" w:hint="eastAsia"/>
          <w:spacing w:val="6"/>
          <w:kern w:val="0"/>
          <w:szCs w:val="21"/>
        </w:rPr>
        <w:t>注意を払っていかなければならない。また、３年後の見直</w:t>
      </w:r>
      <w:r w:rsidRPr="00A3118C">
        <w:rPr>
          <w:rFonts w:asciiTheme="minorEastAsia" w:hAnsiTheme="minorEastAsia" w:cs="Times New Roman" w:hint="eastAsia"/>
          <w:spacing w:val="6"/>
          <w:kern w:val="0"/>
          <w:szCs w:val="21"/>
        </w:rPr>
        <w:t>しに向けて、全事件の可視化を実現できるよう、実務の現場において、</w:t>
      </w:r>
      <w:r w:rsidR="00505FCB" w:rsidRPr="00A3118C">
        <w:rPr>
          <w:rFonts w:asciiTheme="minorEastAsia" w:hAnsiTheme="minorEastAsia" w:cs="Times New Roman" w:hint="eastAsia"/>
          <w:spacing w:val="6"/>
          <w:kern w:val="0"/>
          <w:szCs w:val="21"/>
        </w:rPr>
        <w:t>対象外事件についても</w:t>
      </w:r>
      <w:r w:rsidRPr="00A3118C">
        <w:rPr>
          <w:rFonts w:asciiTheme="minorEastAsia" w:hAnsiTheme="minorEastAsia" w:cs="Times New Roman" w:hint="eastAsia"/>
          <w:spacing w:val="6"/>
          <w:kern w:val="0"/>
          <w:szCs w:val="21"/>
        </w:rPr>
        <w:t>捜査機関に対し、積極的に</w:t>
      </w:r>
      <w:r w:rsidR="00505FCB" w:rsidRPr="00A3118C">
        <w:rPr>
          <w:rFonts w:asciiTheme="minorEastAsia" w:hAnsiTheme="minorEastAsia" w:cs="Times New Roman" w:hint="eastAsia"/>
          <w:spacing w:val="6"/>
          <w:kern w:val="0"/>
          <w:szCs w:val="21"/>
        </w:rPr>
        <w:t>可視化を要求するなどの地道な努力が必要である。</w:t>
      </w:r>
    </w:p>
    <w:p w14:paraId="471AC460" w14:textId="0028B5C6" w:rsidR="00505FCB" w:rsidRPr="00A3118C" w:rsidRDefault="00132749" w:rsidP="00132749">
      <w:pPr>
        <w:suppressAutoHyphens/>
        <w:ind w:leftChars="100" w:left="223" w:firstLineChars="100" w:firstLine="235"/>
        <w:textAlignment w:val="baseline"/>
        <w:rPr>
          <w:rFonts w:asciiTheme="minorEastAsia" w:hAnsiTheme="minorEastAsia" w:cs="Times New Roman"/>
          <w:spacing w:val="6"/>
          <w:kern w:val="0"/>
          <w:szCs w:val="21"/>
        </w:rPr>
      </w:pPr>
      <w:r w:rsidRPr="00A3118C">
        <w:rPr>
          <w:rFonts w:asciiTheme="minorEastAsia" w:hAnsiTheme="minorEastAsia" w:cs="Times New Roman" w:hint="eastAsia"/>
          <w:spacing w:val="6"/>
          <w:kern w:val="0"/>
          <w:szCs w:val="21"/>
        </w:rPr>
        <w:t>司法取引制度や刑事免責制度は</w:t>
      </w:r>
      <w:r w:rsidR="00505FCB" w:rsidRPr="00A3118C">
        <w:rPr>
          <w:rFonts w:asciiTheme="minorEastAsia" w:hAnsiTheme="minorEastAsia" w:cs="Times New Roman" w:hint="eastAsia"/>
          <w:spacing w:val="6"/>
          <w:kern w:val="0"/>
          <w:szCs w:val="21"/>
        </w:rPr>
        <w:t>、</w:t>
      </w:r>
      <w:r w:rsidR="00C11E70" w:rsidRPr="00A3118C">
        <w:rPr>
          <w:rFonts w:asciiTheme="minorEastAsia" w:hAnsiTheme="minorEastAsia" w:cs="Times New Roman" w:hint="eastAsia"/>
          <w:spacing w:val="6"/>
          <w:kern w:val="0"/>
          <w:szCs w:val="21"/>
        </w:rPr>
        <w:t>それ自体、</w:t>
      </w:r>
      <w:r w:rsidR="00505FCB" w:rsidRPr="00A3118C">
        <w:rPr>
          <w:rFonts w:asciiTheme="minorEastAsia" w:hAnsiTheme="minorEastAsia" w:cs="Times New Roman" w:hint="eastAsia"/>
          <w:spacing w:val="6"/>
          <w:kern w:val="0"/>
          <w:szCs w:val="21"/>
        </w:rPr>
        <w:t>共犯者の引き込み供述の危険をはらんだ制度である</w:t>
      </w:r>
      <w:r w:rsidR="00C11E70" w:rsidRPr="00A3118C">
        <w:rPr>
          <w:rFonts w:asciiTheme="minorEastAsia" w:hAnsiTheme="minorEastAsia" w:cs="Times New Roman" w:hint="eastAsia"/>
          <w:spacing w:val="6"/>
          <w:kern w:val="0"/>
          <w:szCs w:val="21"/>
        </w:rPr>
        <w:t>ので</w:t>
      </w:r>
      <w:r w:rsidRPr="00A3118C">
        <w:rPr>
          <w:rFonts w:asciiTheme="minorEastAsia" w:hAnsiTheme="minorEastAsia" w:cs="Times New Roman" w:hint="eastAsia"/>
          <w:spacing w:val="6"/>
          <w:kern w:val="0"/>
          <w:szCs w:val="21"/>
        </w:rPr>
        <w:t>、これらの</w:t>
      </w:r>
      <w:r w:rsidR="00505FCB" w:rsidRPr="00A3118C">
        <w:rPr>
          <w:rFonts w:asciiTheme="minorEastAsia" w:hAnsiTheme="minorEastAsia" w:cs="Times New Roman" w:hint="eastAsia"/>
          <w:spacing w:val="6"/>
          <w:kern w:val="0"/>
          <w:szCs w:val="21"/>
        </w:rPr>
        <w:t>制度が誤判の原因とならないよう、関係者の供述の信用性には格別</w:t>
      </w:r>
      <w:r w:rsidRPr="00A3118C">
        <w:rPr>
          <w:rFonts w:asciiTheme="minorEastAsia" w:hAnsiTheme="minorEastAsia" w:cs="Times New Roman" w:hint="eastAsia"/>
          <w:spacing w:val="6"/>
          <w:kern w:val="0"/>
          <w:szCs w:val="21"/>
        </w:rPr>
        <w:t>の配慮をするなど慎重な運用がなされるよう対応していく必要がある</w:t>
      </w:r>
      <w:r w:rsidR="00505FCB" w:rsidRPr="00A3118C">
        <w:rPr>
          <w:rFonts w:asciiTheme="minorEastAsia" w:hAnsiTheme="minorEastAsia" w:cs="Times New Roman" w:hint="eastAsia"/>
          <w:spacing w:val="6"/>
          <w:kern w:val="0"/>
          <w:szCs w:val="21"/>
        </w:rPr>
        <w:t>。</w:t>
      </w:r>
    </w:p>
    <w:p w14:paraId="68EC73A2" w14:textId="77777777" w:rsidR="00505FCB" w:rsidRPr="00A3118C" w:rsidRDefault="00505FCB" w:rsidP="00505FCB">
      <w:pPr>
        <w:suppressAutoHyphens/>
        <w:ind w:left="6"/>
        <w:textAlignment w:val="baseline"/>
        <w:rPr>
          <w:rFonts w:asciiTheme="minorEastAsia" w:hAnsiTheme="minorEastAsia" w:cs="ＭＳ 明朝"/>
          <w:bCs/>
          <w:kern w:val="0"/>
          <w:szCs w:val="21"/>
        </w:rPr>
      </w:pPr>
    </w:p>
    <w:p w14:paraId="6978A683" w14:textId="77777777" w:rsidR="00AF1D78" w:rsidRPr="00A3118C" w:rsidRDefault="00AF1D78" w:rsidP="005D5527">
      <w:pPr>
        <w:rPr>
          <w:rFonts w:asciiTheme="minorEastAsia" w:hAnsiTheme="minorEastAsia"/>
          <w:szCs w:val="21"/>
        </w:rPr>
      </w:pPr>
    </w:p>
    <w:sectPr w:rsidR="00AF1D78" w:rsidRPr="00A3118C" w:rsidSect="005E45B2">
      <w:pgSz w:w="11906" w:h="16838" w:code="9"/>
      <w:pgMar w:top="1418" w:right="1134" w:bottom="1134" w:left="1418" w:header="851" w:footer="992" w:gutter="0"/>
      <w:cols w:space="425"/>
      <w:docGrid w:type="linesAndChars" w:linePitch="375"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04EB3" w14:textId="77777777" w:rsidR="00B53326" w:rsidRDefault="00B53326" w:rsidP="00287735">
      <w:r>
        <w:separator/>
      </w:r>
    </w:p>
  </w:endnote>
  <w:endnote w:type="continuationSeparator" w:id="0">
    <w:p w14:paraId="42D72554" w14:textId="77777777" w:rsidR="00B53326" w:rsidRDefault="00B53326" w:rsidP="0028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4BFD0" w14:textId="77777777" w:rsidR="00B53326" w:rsidRDefault="00B53326" w:rsidP="00287735">
      <w:r>
        <w:separator/>
      </w:r>
    </w:p>
  </w:footnote>
  <w:footnote w:type="continuationSeparator" w:id="0">
    <w:p w14:paraId="1E0FBF94" w14:textId="77777777" w:rsidR="00B53326" w:rsidRDefault="00B53326" w:rsidP="00287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A5342"/>
    <w:multiLevelType w:val="hybridMultilevel"/>
    <w:tmpl w:val="E5CAF3D4"/>
    <w:lvl w:ilvl="0" w:tplc="2CC6010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26239A6"/>
    <w:multiLevelType w:val="hybridMultilevel"/>
    <w:tmpl w:val="75104DC8"/>
    <w:lvl w:ilvl="0" w:tplc="72104D36">
      <w:start w:val="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3795163A"/>
    <w:multiLevelType w:val="hybridMultilevel"/>
    <w:tmpl w:val="25CA19D2"/>
    <w:lvl w:ilvl="0" w:tplc="B19A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810CF"/>
    <w:multiLevelType w:val="hybridMultilevel"/>
    <w:tmpl w:val="04E63CDA"/>
    <w:lvl w:ilvl="0" w:tplc="E23EE260">
      <w:start w:val="1"/>
      <w:numFmt w:val="decimalEnclosedParen"/>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4" w15:restartNumberingAfterBreak="0">
    <w:nsid w:val="57581AA9"/>
    <w:multiLevelType w:val="hybridMultilevel"/>
    <w:tmpl w:val="2804802A"/>
    <w:lvl w:ilvl="0" w:tplc="6C3A6214">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659E2E38"/>
    <w:multiLevelType w:val="hybridMultilevel"/>
    <w:tmpl w:val="EAD6BD44"/>
    <w:lvl w:ilvl="0" w:tplc="1228D41C">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6C147BF"/>
    <w:multiLevelType w:val="hybridMultilevel"/>
    <w:tmpl w:val="1382C466"/>
    <w:lvl w:ilvl="0" w:tplc="D67E23CE">
      <w:start w:val="1"/>
      <w:numFmt w:val="decimalEnclosedParen"/>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3A"/>
    <w:rsid w:val="00004032"/>
    <w:rsid w:val="000A138D"/>
    <w:rsid w:val="000D021D"/>
    <w:rsid w:val="000E3709"/>
    <w:rsid w:val="000E7B4D"/>
    <w:rsid w:val="00113C36"/>
    <w:rsid w:val="0012130F"/>
    <w:rsid w:val="001260C2"/>
    <w:rsid w:val="00132749"/>
    <w:rsid w:val="0014530E"/>
    <w:rsid w:val="001706D8"/>
    <w:rsid w:val="0017559D"/>
    <w:rsid w:val="00176B5C"/>
    <w:rsid w:val="00185592"/>
    <w:rsid w:val="001A4F24"/>
    <w:rsid w:val="001A590E"/>
    <w:rsid w:val="001A68DD"/>
    <w:rsid w:val="001C2D67"/>
    <w:rsid w:val="001C7B14"/>
    <w:rsid w:val="002508CD"/>
    <w:rsid w:val="002512BC"/>
    <w:rsid w:val="00287735"/>
    <w:rsid w:val="002904C4"/>
    <w:rsid w:val="002A0A6C"/>
    <w:rsid w:val="002C2E5A"/>
    <w:rsid w:val="002E36BE"/>
    <w:rsid w:val="002F009B"/>
    <w:rsid w:val="003120B4"/>
    <w:rsid w:val="003130D4"/>
    <w:rsid w:val="00352697"/>
    <w:rsid w:val="003612D5"/>
    <w:rsid w:val="003672B2"/>
    <w:rsid w:val="00383D58"/>
    <w:rsid w:val="003A20A6"/>
    <w:rsid w:val="003A4145"/>
    <w:rsid w:val="003B613E"/>
    <w:rsid w:val="003C7278"/>
    <w:rsid w:val="004072FD"/>
    <w:rsid w:val="004755B3"/>
    <w:rsid w:val="00491240"/>
    <w:rsid w:val="0049684F"/>
    <w:rsid w:val="004A62CB"/>
    <w:rsid w:val="004E16C8"/>
    <w:rsid w:val="004E531F"/>
    <w:rsid w:val="00505FCB"/>
    <w:rsid w:val="00534C97"/>
    <w:rsid w:val="005A0457"/>
    <w:rsid w:val="005B3505"/>
    <w:rsid w:val="005D441C"/>
    <w:rsid w:val="005D5527"/>
    <w:rsid w:val="005D7208"/>
    <w:rsid w:val="005E45B2"/>
    <w:rsid w:val="005F08F8"/>
    <w:rsid w:val="005F3A3D"/>
    <w:rsid w:val="005F6215"/>
    <w:rsid w:val="00615202"/>
    <w:rsid w:val="00634E3A"/>
    <w:rsid w:val="00645AC0"/>
    <w:rsid w:val="00657467"/>
    <w:rsid w:val="0066191B"/>
    <w:rsid w:val="006C4A74"/>
    <w:rsid w:val="007122EB"/>
    <w:rsid w:val="0072287E"/>
    <w:rsid w:val="00746AF5"/>
    <w:rsid w:val="00750D81"/>
    <w:rsid w:val="007A6844"/>
    <w:rsid w:val="007B4AD9"/>
    <w:rsid w:val="007D6DBD"/>
    <w:rsid w:val="007E1DE1"/>
    <w:rsid w:val="00804B64"/>
    <w:rsid w:val="00823F76"/>
    <w:rsid w:val="00855AF9"/>
    <w:rsid w:val="008643E9"/>
    <w:rsid w:val="00876458"/>
    <w:rsid w:val="008A3B3C"/>
    <w:rsid w:val="008B422E"/>
    <w:rsid w:val="008C3D13"/>
    <w:rsid w:val="008E13AD"/>
    <w:rsid w:val="009068B4"/>
    <w:rsid w:val="009310DE"/>
    <w:rsid w:val="00974035"/>
    <w:rsid w:val="00974B0D"/>
    <w:rsid w:val="00986F02"/>
    <w:rsid w:val="009C65C6"/>
    <w:rsid w:val="009D1532"/>
    <w:rsid w:val="00A00F62"/>
    <w:rsid w:val="00A156E7"/>
    <w:rsid w:val="00A3118C"/>
    <w:rsid w:val="00A34CA5"/>
    <w:rsid w:val="00A718B1"/>
    <w:rsid w:val="00AB54D6"/>
    <w:rsid w:val="00AC53AC"/>
    <w:rsid w:val="00AD1487"/>
    <w:rsid w:val="00AF1D78"/>
    <w:rsid w:val="00B515E3"/>
    <w:rsid w:val="00B53326"/>
    <w:rsid w:val="00B57EDA"/>
    <w:rsid w:val="00BA253D"/>
    <w:rsid w:val="00BA49B9"/>
    <w:rsid w:val="00BB4F4F"/>
    <w:rsid w:val="00BD62AB"/>
    <w:rsid w:val="00BE5EAF"/>
    <w:rsid w:val="00BF365B"/>
    <w:rsid w:val="00C11E70"/>
    <w:rsid w:val="00C20C80"/>
    <w:rsid w:val="00C418A7"/>
    <w:rsid w:val="00C45DFC"/>
    <w:rsid w:val="00C54FC2"/>
    <w:rsid w:val="00CA1F80"/>
    <w:rsid w:val="00D04B6D"/>
    <w:rsid w:val="00D24ACF"/>
    <w:rsid w:val="00D271A5"/>
    <w:rsid w:val="00D4451A"/>
    <w:rsid w:val="00D655D8"/>
    <w:rsid w:val="00D700B8"/>
    <w:rsid w:val="00D74EE1"/>
    <w:rsid w:val="00D765E8"/>
    <w:rsid w:val="00D879B8"/>
    <w:rsid w:val="00DC52CD"/>
    <w:rsid w:val="00DF0A5A"/>
    <w:rsid w:val="00E005D6"/>
    <w:rsid w:val="00E551DA"/>
    <w:rsid w:val="00EA31AB"/>
    <w:rsid w:val="00EE5CB6"/>
    <w:rsid w:val="00F01C96"/>
    <w:rsid w:val="00F24684"/>
    <w:rsid w:val="00F25C71"/>
    <w:rsid w:val="00F702C9"/>
    <w:rsid w:val="00F72D76"/>
    <w:rsid w:val="00FA39DC"/>
    <w:rsid w:val="00FC4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5FBD6CA"/>
  <w15:docId w15:val="{0CC7C036-24B0-4FA1-95C8-40128AA5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735"/>
    <w:pPr>
      <w:tabs>
        <w:tab w:val="center" w:pos="4252"/>
        <w:tab w:val="right" w:pos="8504"/>
      </w:tabs>
      <w:snapToGrid w:val="0"/>
    </w:pPr>
  </w:style>
  <w:style w:type="character" w:customStyle="1" w:styleId="a5">
    <w:name w:val="ヘッダー (文字)"/>
    <w:basedOn w:val="a0"/>
    <w:link w:val="a4"/>
    <w:uiPriority w:val="99"/>
    <w:rsid w:val="00287735"/>
  </w:style>
  <w:style w:type="paragraph" w:styleId="a6">
    <w:name w:val="footer"/>
    <w:basedOn w:val="a"/>
    <w:link w:val="a7"/>
    <w:uiPriority w:val="99"/>
    <w:unhideWhenUsed/>
    <w:rsid w:val="00287735"/>
    <w:pPr>
      <w:tabs>
        <w:tab w:val="center" w:pos="4252"/>
        <w:tab w:val="right" w:pos="8504"/>
      </w:tabs>
      <w:snapToGrid w:val="0"/>
    </w:pPr>
  </w:style>
  <w:style w:type="character" w:customStyle="1" w:styleId="a7">
    <w:name w:val="フッター (文字)"/>
    <w:basedOn w:val="a0"/>
    <w:link w:val="a6"/>
    <w:uiPriority w:val="99"/>
    <w:rsid w:val="00287735"/>
  </w:style>
  <w:style w:type="paragraph" w:styleId="a8">
    <w:name w:val="Balloon Text"/>
    <w:basedOn w:val="a"/>
    <w:link w:val="a9"/>
    <w:uiPriority w:val="99"/>
    <w:semiHidden/>
    <w:unhideWhenUsed/>
    <w:rsid w:val="005D7208"/>
    <w:rPr>
      <w:rFonts w:ascii="ヒラギノ角ゴ ProN W3" w:eastAsia="ヒラギノ角ゴ ProN W3"/>
      <w:sz w:val="18"/>
      <w:szCs w:val="18"/>
    </w:rPr>
  </w:style>
  <w:style w:type="character" w:customStyle="1" w:styleId="a9">
    <w:name w:val="吹き出し (文字)"/>
    <w:basedOn w:val="a0"/>
    <w:link w:val="a8"/>
    <w:uiPriority w:val="99"/>
    <w:semiHidden/>
    <w:rsid w:val="005D7208"/>
    <w:rPr>
      <w:rFonts w:ascii="ヒラギノ角ゴ ProN W3" w:eastAsia="ヒラギノ角ゴ ProN W3"/>
      <w:sz w:val="18"/>
      <w:szCs w:val="18"/>
    </w:rPr>
  </w:style>
  <w:style w:type="paragraph" w:styleId="aa">
    <w:name w:val="List Paragraph"/>
    <w:basedOn w:val="a"/>
    <w:uiPriority w:val="34"/>
    <w:qFormat/>
    <w:rsid w:val="004A62CB"/>
    <w:pPr>
      <w:ind w:leftChars="400" w:left="840"/>
    </w:pPr>
  </w:style>
  <w:style w:type="paragraph" w:styleId="ab">
    <w:name w:val="Body Text"/>
    <w:basedOn w:val="a"/>
    <w:link w:val="ac"/>
    <w:uiPriority w:val="1"/>
    <w:qFormat/>
    <w:rsid w:val="000A138D"/>
    <w:pPr>
      <w:autoSpaceDE w:val="0"/>
      <w:autoSpaceDN w:val="0"/>
      <w:adjustRightInd w:val="0"/>
      <w:spacing w:before="14"/>
      <w:ind w:left="1811"/>
      <w:jc w:val="left"/>
    </w:pPr>
    <w:rPr>
      <w:rFonts w:ascii="PMingLiU" w:eastAsia="PMingLiU" w:hAnsi="Times New Roman" w:cs="PMingLiU"/>
      <w:kern w:val="0"/>
      <w:sz w:val="17"/>
      <w:szCs w:val="17"/>
    </w:rPr>
  </w:style>
  <w:style w:type="character" w:customStyle="1" w:styleId="ac">
    <w:name w:val="本文 (文字)"/>
    <w:basedOn w:val="a0"/>
    <w:link w:val="ab"/>
    <w:uiPriority w:val="1"/>
    <w:rsid w:val="000A138D"/>
    <w:rPr>
      <w:rFonts w:ascii="PMingLiU" w:eastAsia="PMingLiU" w:hAnsi="Times New Roman" w:cs="PMingLiU"/>
      <w:kern w:val="0"/>
      <w:sz w:val="17"/>
      <w:szCs w:val="17"/>
    </w:rPr>
  </w:style>
  <w:style w:type="character" w:styleId="ad">
    <w:name w:val="Hyperlink"/>
    <w:semiHidden/>
    <w:unhideWhenUsed/>
    <w:rsid w:val="009C65C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9835">
      <w:bodyDiv w:val="1"/>
      <w:marLeft w:val="0"/>
      <w:marRight w:val="0"/>
      <w:marTop w:val="0"/>
      <w:marBottom w:val="0"/>
      <w:divBdr>
        <w:top w:val="none" w:sz="0" w:space="0" w:color="auto"/>
        <w:left w:val="none" w:sz="0" w:space="0" w:color="auto"/>
        <w:bottom w:val="none" w:sz="0" w:space="0" w:color="auto"/>
        <w:right w:val="none" w:sz="0" w:space="0" w:color="auto"/>
      </w:divBdr>
    </w:div>
    <w:div w:id="204953863">
      <w:bodyDiv w:val="1"/>
      <w:marLeft w:val="0"/>
      <w:marRight w:val="0"/>
      <w:marTop w:val="0"/>
      <w:marBottom w:val="0"/>
      <w:divBdr>
        <w:top w:val="none" w:sz="0" w:space="0" w:color="auto"/>
        <w:left w:val="none" w:sz="0" w:space="0" w:color="auto"/>
        <w:bottom w:val="none" w:sz="0" w:space="0" w:color="auto"/>
        <w:right w:val="none" w:sz="0" w:space="0" w:color="auto"/>
      </w:divBdr>
    </w:div>
    <w:div w:id="359088743">
      <w:bodyDiv w:val="1"/>
      <w:marLeft w:val="0"/>
      <w:marRight w:val="0"/>
      <w:marTop w:val="0"/>
      <w:marBottom w:val="0"/>
      <w:divBdr>
        <w:top w:val="none" w:sz="0" w:space="0" w:color="auto"/>
        <w:left w:val="none" w:sz="0" w:space="0" w:color="auto"/>
        <w:bottom w:val="none" w:sz="0" w:space="0" w:color="auto"/>
        <w:right w:val="none" w:sz="0" w:space="0" w:color="auto"/>
      </w:divBdr>
    </w:div>
    <w:div w:id="180573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D0D06-3B36-4930-807F-4922A6AF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1126</Words>
  <Characters>6424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kuninori.oku</dc:creator>
  <cp:lastModifiedBy>小野寺 淳</cp:lastModifiedBy>
  <cp:revision>5</cp:revision>
  <dcterms:created xsi:type="dcterms:W3CDTF">2015-12-13T06:08:00Z</dcterms:created>
  <dcterms:modified xsi:type="dcterms:W3CDTF">2016-01-13T04:53:00Z</dcterms:modified>
</cp:coreProperties>
</file>